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DEA9" w14:textId="0D54E39B" w:rsidR="00DA6B51" w:rsidRDefault="00DA6B51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186EAC" w14:paraId="1FFC04D4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F3C0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E57" w14:textId="01D69868" w:rsidR="00186EAC" w:rsidRPr="008E10CB" w:rsidRDefault="00304B6F" w:rsidP="00394BEF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PMO Analyst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788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3C6" w14:textId="5423612B" w:rsidR="00186EAC" w:rsidRPr="008D4E89" w:rsidRDefault="00186EAC" w:rsidP="004A68A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86EAC" w14:paraId="4BA2BF4D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0F3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C24" w14:textId="24348401" w:rsidR="00186EAC" w:rsidRPr="008D4E89" w:rsidRDefault="002F4A92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Maritime Solutions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DF4" w14:textId="17F96ABC" w:rsidR="00186EAC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Dept/Sector: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6A" w14:textId="68BA7308" w:rsidR="00186EAC" w:rsidRPr="008D4E89" w:rsidRDefault="002F3439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PMO</w:t>
            </w:r>
          </w:p>
        </w:tc>
      </w:tr>
      <w:tr w:rsidR="00634EA6" w14:paraId="1E5375A0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7E0" w14:textId="366049AF" w:rsidR="00634EA6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9BD" w14:textId="32A6531C" w:rsidR="00634EA6" w:rsidRDefault="00353167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SN</w:t>
            </w:r>
            <w:r w:rsidR="009B0B3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ECC" w14:textId="09DA043D" w:rsidR="00634EA6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Skill Group: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A9C" w14:textId="52BD552F" w:rsidR="00634EA6" w:rsidRDefault="00634EA6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 Management</w:t>
            </w:r>
            <w:r w:rsidR="002A34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PMO</w:t>
            </w:r>
          </w:p>
        </w:tc>
      </w:tr>
    </w:tbl>
    <w:p w14:paraId="3D91C71D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B5ADDB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C906AB8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16FB732E" w14:textId="77777777" w:rsidTr="00C82F72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2367" w14:textId="77777777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2EA8C" w14:textId="36079E2D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SEA is a market leading company delivering and supporting advanced solutions in both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aritime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efence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="007200A8"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Intelligent Transport 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sectors.  </w:t>
            </w:r>
          </w:p>
          <w:p w14:paraId="190413D1" w14:textId="77777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E7D4EB" w14:textId="5D2283F1" w:rsidR="00335B03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In Defence, we provide state-of-the-art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>solutions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naval ship and fleet protection,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submarine communications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and undersea surveillance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communication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systems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products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ur systems deliver rapid response to threat and system effectiveness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interoperation. Our systems support an ever-growing number of navies across the world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F7CDF61" w14:textId="77777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42BDE8" w14:textId="50A5E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Within Intelligent Transport, we supply high-integrity transport management software and systems, specifically developed for complex road and rail environments. Our multi-platform solutions enable and promote healthier, smarter cities while enhancing road and rail safety for all.</w:t>
            </w:r>
          </w:p>
          <w:p w14:paraId="683530B6" w14:textId="77777777" w:rsidR="00300A63" w:rsidRDefault="00300A6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ED2084" w14:textId="41937064" w:rsidR="00300A63" w:rsidRDefault="00300A6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r w:rsidRPr="00300A63">
              <w:rPr>
                <w:rFonts w:ascii="Arial" w:hAnsi="Arial" w:cs="Arial"/>
                <w:color w:val="000000"/>
                <w:sz w:val="22"/>
                <w:szCs w:val="22"/>
              </w:rPr>
              <w:t xml:space="preserve"> PMO Analyst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will</w:t>
            </w:r>
            <w:r w:rsidRPr="00300A63">
              <w:rPr>
                <w:rFonts w:ascii="Arial" w:hAnsi="Arial" w:cs="Arial"/>
                <w:color w:val="000000"/>
                <w:sz w:val="22"/>
                <w:szCs w:val="22"/>
              </w:rPr>
              <w:t xml:space="preserve"> pla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300A63">
              <w:rPr>
                <w:rFonts w:ascii="Arial" w:hAnsi="Arial" w:cs="Arial"/>
                <w:color w:val="000000"/>
                <w:sz w:val="22"/>
                <w:szCs w:val="22"/>
              </w:rPr>
              <w:t xml:space="preserve"> a critical role in supporting project management activities and ensuring projects are delivered effectively and efficiently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 This role will require you to collaborate with Project and Programme Managers to track</w:t>
            </w:r>
            <w:r w:rsidR="00532AE2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trend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project progress and conformance to agreed baselines.  You will also be required to prepare reports and complete detailed analysis on project, programme and portfolio performance, supporting change requests.</w:t>
            </w:r>
          </w:p>
          <w:p w14:paraId="27347478" w14:textId="77777777" w:rsidR="00724DC4" w:rsidRDefault="00724DC4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602D65" w14:textId="795FA476" w:rsidR="00724DC4" w:rsidRDefault="009337C3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This role will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be required to support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all projects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>Divisions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at SEA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7E4ACF30" w14:textId="240F918F" w:rsidR="00E0517F" w:rsidRPr="00E0517F" w:rsidRDefault="00E0517F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D5F" w:rsidRPr="00152185" w14:paraId="406C7DC5" w14:textId="77777777" w:rsidTr="00711DF7">
        <w:trPr>
          <w:trHeight w:val="841"/>
        </w:trPr>
        <w:tc>
          <w:tcPr>
            <w:tcW w:w="9356" w:type="dxa"/>
            <w:tcBorders>
              <w:top w:val="single" w:sz="4" w:space="0" w:color="auto"/>
            </w:tcBorders>
            <w:vAlign w:val="bottom"/>
          </w:tcPr>
          <w:p w14:paraId="6DBC97D1" w14:textId="24B4D335" w:rsidR="00E17B5A" w:rsidRDefault="00E17B5A" w:rsidP="00E17B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EE4">
              <w:rPr>
                <w:rFonts w:ascii="Arial" w:hAnsi="Arial" w:cs="Arial"/>
                <w:b/>
                <w:bCs/>
                <w:sz w:val="22"/>
                <w:szCs w:val="22"/>
              </w:rPr>
              <w:t>Primary Responsibilities</w:t>
            </w:r>
          </w:p>
          <w:p w14:paraId="07A10CAE" w14:textId="29DC9BB0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Develop, implement</w:t>
            </w:r>
            <w:r w:rsidR="006F0C1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304B6F">
              <w:rPr>
                <w:rFonts w:ascii="Arial" w:hAnsi="Arial" w:cs="Arial"/>
                <w:sz w:val="22"/>
                <w:szCs w:val="22"/>
              </w:rPr>
              <w:t xml:space="preserve"> maintain project management standards, templates, </w:t>
            </w:r>
            <w:r w:rsidR="006F0C16">
              <w:rPr>
                <w:rFonts w:ascii="Arial" w:hAnsi="Arial" w:cs="Arial"/>
                <w:sz w:val="22"/>
                <w:szCs w:val="22"/>
              </w:rPr>
              <w:t xml:space="preserve">tools </w:t>
            </w:r>
            <w:r w:rsidRPr="00304B6F">
              <w:rPr>
                <w:rFonts w:ascii="Arial" w:hAnsi="Arial" w:cs="Arial"/>
                <w:sz w:val="22"/>
                <w:szCs w:val="22"/>
              </w:rPr>
              <w:t>and best practices.</w:t>
            </w:r>
          </w:p>
          <w:p w14:paraId="48701533" w14:textId="48A1752B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Ensure projects comply with organi</w:t>
            </w:r>
            <w:r w:rsidR="008C3944">
              <w:rPr>
                <w:rFonts w:ascii="Arial" w:hAnsi="Arial" w:cs="Arial"/>
                <w:sz w:val="22"/>
                <w:szCs w:val="22"/>
              </w:rPr>
              <w:t>s</w:t>
            </w:r>
            <w:r w:rsidRPr="00304B6F">
              <w:rPr>
                <w:rFonts w:ascii="Arial" w:hAnsi="Arial" w:cs="Arial"/>
                <w:sz w:val="22"/>
                <w:szCs w:val="22"/>
              </w:rPr>
              <w:t>ational policies and methodologies.</w:t>
            </w:r>
          </w:p>
          <w:p w14:paraId="60DF048A" w14:textId="0797EFA6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 xml:space="preserve">Track </w:t>
            </w:r>
            <w:r w:rsidR="001F5093">
              <w:rPr>
                <w:rFonts w:ascii="Arial" w:hAnsi="Arial" w:cs="Arial"/>
                <w:sz w:val="22"/>
                <w:szCs w:val="22"/>
              </w:rPr>
              <w:t xml:space="preserve">and trend </w:t>
            </w:r>
            <w:r w:rsidRPr="00304B6F">
              <w:rPr>
                <w:rFonts w:ascii="Arial" w:hAnsi="Arial" w:cs="Arial"/>
                <w:sz w:val="22"/>
                <w:szCs w:val="22"/>
              </w:rPr>
              <w:t>project progress against timelines, budgets, and deliverables.</w:t>
            </w:r>
          </w:p>
          <w:p w14:paraId="66BE01F7" w14:textId="77777777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Produce regular project status reports for stakeholders and senior management.</w:t>
            </w:r>
          </w:p>
          <w:p w14:paraId="225E46C9" w14:textId="64AE657D" w:rsidR="00304B6F" w:rsidRPr="00030F34" w:rsidRDefault="000E4EE8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030F34">
              <w:rPr>
                <w:rFonts w:ascii="Arial" w:hAnsi="Arial" w:cs="Arial"/>
                <w:sz w:val="22"/>
                <w:szCs w:val="22"/>
              </w:rPr>
              <w:t>Support active management of</w:t>
            </w:r>
            <w:r w:rsidR="00304B6F" w:rsidRPr="00030F34">
              <w:rPr>
                <w:rFonts w:ascii="Arial" w:hAnsi="Arial" w:cs="Arial"/>
                <w:sz w:val="22"/>
                <w:szCs w:val="22"/>
              </w:rPr>
              <w:t xml:space="preserve"> risks,</w:t>
            </w:r>
            <w:r w:rsidR="00917653">
              <w:rPr>
                <w:rFonts w:ascii="Arial" w:hAnsi="Arial" w:cs="Arial"/>
                <w:sz w:val="22"/>
                <w:szCs w:val="22"/>
              </w:rPr>
              <w:t xml:space="preserve"> assumptions,</w:t>
            </w:r>
            <w:r w:rsidR="00304B6F" w:rsidRPr="00030F34">
              <w:rPr>
                <w:rFonts w:ascii="Arial" w:hAnsi="Arial" w:cs="Arial"/>
                <w:sz w:val="22"/>
                <w:szCs w:val="22"/>
              </w:rPr>
              <w:t xml:space="preserve"> issues, dependencies </w:t>
            </w:r>
            <w:r w:rsidR="00917653">
              <w:rPr>
                <w:rFonts w:ascii="Arial" w:hAnsi="Arial" w:cs="Arial"/>
                <w:sz w:val="22"/>
                <w:szCs w:val="22"/>
              </w:rPr>
              <w:t xml:space="preserve">and opportunities, </w:t>
            </w:r>
            <w:r w:rsidR="00304B6F" w:rsidRPr="00030F34">
              <w:rPr>
                <w:rFonts w:ascii="Arial" w:hAnsi="Arial" w:cs="Arial"/>
                <w:sz w:val="22"/>
                <w:szCs w:val="22"/>
              </w:rPr>
              <w:t>escalat</w:t>
            </w:r>
            <w:r w:rsidR="00917653">
              <w:rPr>
                <w:rFonts w:ascii="Arial" w:hAnsi="Arial" w:cs="Arial"/>
                <w:sz w:val="22"/>
                <w:szCs w:val="22"/>
              </w:rPr>
              <w:t>ing</w:t>
            </w:r>
            <w:r w:rsidR="00304B6F" w:rsidRPr="00030F34">
              <w:rPr>
                <w:rFonts w:ascii="Arial" w:hAnsi="Arial" w:cs="Arial"/>
                <w:sz w:val="22"/>
                <w:szCs w:val="22"/>
              </w:rPr>
              <w:t xml:space="preserve"> them </w:t>
            </w:r>
            <w:r w:rsidR="00917653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304B6F" w:rsidRPr="00030F34">
              <w:rPr>
                <w:rFonts w:ascii="Arial" w:hAnsi="Arial" w:cs="Arial"/>
                <w:sz w:val="22"/>
                <w:szCs w:val="22"/>
              </w:rPr>
              <w:t>appropriate.</w:t>
            </w:r>
            <w:r w:rsidR="00EB5B8C" w:rsidRPr="00030F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CE4FA2" w14:textId="77777777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Provide insights and recommendations for project improvement based on data analysis.</w:t>
            </w:r>
          </w:p>
          <w:p w14:paraId="1C7BFF0B" w14:textId="77777777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Assist with budgeting and financial tracking for projects.</w:t>
            </w:r>
          </w:p>
          <w:p w14:paraId="5BF3FFEB" w14:textId="5416E411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Analy</w:t>
            </w:r>
            <w:r w:rsidR="00711DF7">
              <w:rPr>
                <w:rFonts w:ascii="Arial" w:hAnsi="Arial" w:cs="Arial"/>
                <w:sz w:val="22"/>
                <w:szCs w:val="22"/>
              </w:rPr>
              <w:t>s</w:t>
            </w:r>
            <w:r w:rsidRPr="00304B6F">
              <w:rPr>
                <w:rFonts w:ascii="Arial" w:hAnsi="Arial" w:cs="Arial"/>
                <w:sz w:val="22"/>
                <w:szCs w:val="22"/>
              </w:rPr>
              <w:t>e cost variances and support the preparation of financial forecasts.</w:t>
            </w:r>
          </w:p>
          <w:p w14:paraId="1AA11B4B" w14:textId="77777777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Support project managers in developing mitigation strategies and contingency plans.</w:t>
            </w:r>
          </w:p>
          <w:p w14:paraId="4A2E4CCC" w14:textId="362B1D84" w:rsidR="00304B6F" w:rsidRPr="00304B6F" w:rsidRDefault="006F0C16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education, training and frontline support </w:t>
            </w:r>
            <w:r w:rsidR="00304B6F" w:rsidRPr="00304B6F">
              <w:rPr>
                <w:rFonts w:ascii="Arial" w:hAnsi="Arial" w:cs="Arial"/>
                <w:sz w:val="22"/>
                <w:szCs w:val="22"/>
              </w:rPr>
              <w:t xml:space="preserve">on the use of project management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procedures, processes and </w:t>
            </w:r>
            <w:r w:rsidR="00304B6F" w:rsidRPr="00304B6F">
              <w:rPr>
                <w:rFonts w:ascii="Arial" w:hAnsi="Arial" w:cs="Arial"/>
                <w:sz w:val="22"/>
                <w:szCs w:val="22"/>
              </w:rPr>
              <w:t>tools.</w:t>
            </w:r>
          </w:p>
          <w:p w14:paraId="0B843C90" w14:textId="6184157F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 xml:space="preserve">Provide administrative support to </w:t>
            </w:r>
            <w:r w:rsidR="00917653">
              <w:rPr>
                <w:rFonts w:ascii="Arial" w:hAnsi="Arial" w:cs="Arial"/>
                <w:sz w:val="22"/>
                <w:szCs w:val="22"/>
              </w:rPr>
              <w:t>Integrated Business Planning (</w:t>
            </w:r>
            <w:r w:rsidR="00711DF7">
              <w:rPr>
                <w:rFonts w:ascii="Arial" w:hAnsi="Arial" w:cs="Arial"/>
                <w:sz w:val="22"/>
                <w:szCs w:val="22"/>
              </w:rPr>
              <w:t>IBP</w:t>
            </w:r>
            <w:r w:rsidR="00917653">
              <w:rPr>
                <w:rFonts w:ascii="Arial" w:hAnsi="Arial" w:cs="Arial"/>
                <w:sz w:val="22"/>
                <w:szCs w:val="22"/>
              </w:rPr>
              <w:t>)</w:t>
            </w:r>
            <w:r w:rsidR="00711D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4B6F">
              <w:rPr>
                <w:rFonts w:ascii="Arial" w:hAnsi="Arial" w:cs="Arial"/>
                <w:sz w:val="22"/>
                <w:szCs w:val="22"/>
              </w:rPr>
              <w:t>project meetings, such as scheduling</w:t>
            </w:r>
            <w:r w:rsidR="00711D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A9E52A" w14:textId="0374499B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Assist in the implementation of change management within projects.</w:t>
            </w:r>
          </w:p>
          <w:p w14:paraId="0B3DFA8C" w14:textId="376DABD5" w:rsidR="00711DF7" w:rsidRDefault="00711DF7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project assurance audits</w:t>
            </w:r>
          </w:p>
          <w:p w14:paraId="5E60F940" w14:textId="3146FBFE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Ensure that projects align with strategic objectives and deliver expected value.</w:t>
            </w:r>
          </w:p>
          <w:p w14:paraId="425CF65A" w14:textId="77777777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lastRenderedPageBreak/>
              <w:t>Maintain a repository of project documentation, lessons learned, and historical data.</w:t>
            </w:r>
          </w:p>
          <w:p w14:paraId="0363B48A" w14:textId="3A7A65C5" w:rsidR="00304B6F" w:rsidRPr="00304B6F" w:rsidRDefault="00304B6F" w:rsidP="00304B6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04B6F">
              <w:rPr>
                <w:rFonts w:ascii="Arial" w:hAnsi="Arial" w:cs="Arial"/>
                <w:sz w:val="22"/>
                <w:szCs w:val="22"/>
              </w:rPr>
              <w:t>Promote knowledge sharing and organi</w:t>
            </w:r>
            <w:r w:rsidR="001F5093">
              <w:rPr>
                <w:rFonts w:ascii="Arial" w:hAnsi="Arial" w:cs="Arial"/>
                <w:sz w:val="22"/>
                <w:szCs w:val="22"/>
              </w:rPr>
              <w:t>s</w:t>
            </w:r>
            <w:r w:rsidRPr="00304B6F">
              <w:rPr>
                <w:rFonts w:ascii="Arial" w:hAnsi="Arial" w:cs="Arial"/>
                <w:sz w:val="22"/>
                <w:szCs w:val="22"/>
              </w:rPr>
              <w:t>ational learning across projects.</w:t>
            </w:r>
          </w:p>
          <w:p w14:paraId="4FA727DA" w14:textId="77777777" w:rsidR="00D87EE4" w:rsidRDefault="00D87EE4" w:rsidP="00E17B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BE76C8" w14:textId="77777777" w:rsidR="0089213A" w:rsidRDefault="00C9404F" w:rsidP="007E55B0">
            <w:pPr>
              <w:spacing w:before="60" w:after="60"/>
              <w:ind w:right="-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Travel may be required to other SEA sites as well as customer and supplier premises both in the UK and abroad.</w:t>
            </w:r>
          </w:p>
          <w:p w14:paraId="4199B2C8" w14:textId="56F298A4" w:rsidR="00711DF7" w:rsidRPr="002829B0" w:rsidRDefault="00711DF7" w:rsidP="007E55B0">
            <w:pPr>
              <w:spacing w:before="60" w:after="60"/>
              <w:ind w:right="-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5F" w:rsidRPr="00152185" w14:paraId="2FCC1085" w14:textId="77777777" w:rsidTr="00D021B2">
        <w:trPr>
          <w:trHeight w:val="2124"/>
        </w:trPr>
        <w:tc>
          <w:tcPr>
            <w:tcW w:w="9356" w:type="dxa"/>
          </w:tcPr>
          <w:p w14:paraId="232DA2E1" w14:textId="7CFB6846" w:rsidR="007F6931" w:rsidRDefault="007F6931" w:rsidP="007F6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Skills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BD6E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APM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Competency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Expectations</w:t>
            </w:r>
          </w:p>
          <w:p w14:paraId="0F2A45F4" w14:textId="0C6FA3E3" w:rsidR="00E21D00" w:rsidRPr="00E21D00" w:rsidRDefault="00B4663B" w:rsidP="00304B6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Governance Arrangements</w:t>
            </w:r>
            <w:r w:rsidR="000B5F4E" w:rsidRPr="00E21D00">
              <w:rPr>
                <w:rFonts w:ascii="Arial" w:hAnsi="Arial" w:cs="Arial"/>
                <w:sz w:val="22"/>
                <w:szCs w:val="22"/>
              </w:rPr>
              <w:t>:</w:t>
            </w:r>
            <w:r w:rsidR="002450A1" w:rsidRPr="00E21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 w:rsidRPr="00E21D00">
              <w:rPr>
                <w:rFonts w:ascii="Arial" w:hAnsi="Arial" w:cs="Arial"/>
                <w:sz w:val="22"/>
                <w:szCs w:val="22"/>
              </w:rPr>
              <w:t>‘</w:t>
            </w:r>
            <w:r w:rsidR="002450A1" w:rsidRPr="00E21D00">
              <w:rPr>
                <w:rFonts w:ascii="Arial" w:hAnsi="Arial" w:cs="Arial"/>
                <w:sz w:val="22"/>
                <w:szCs w:val="22"/>
              </w:rPr>
              <w:t>Expert Level</w:t>
            </w:r>
            <w:r w:rsidR="005025BB" w:rsidRPr="00E21D00">
              <w:rPr>
                <w:rFonts w:ascii="Arial" w:hAnsi="Arial" w:cs="Arial"/>
                <w:sz w:val="22"/>
                <w:szCs w:val="22"/>
              </w:rPr>
              <w:t>’</w:t>
            </w:r>
          </w:p>
          <w:p w14:paraId="348E1987" w14:textId="21282F50" w:rsidR="00B4663B" w:rsidRDefault="00B4663B" w:rsidP="00304B6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Financial Management: </w:t>
            </w:r>
            <w:r w:rsidRPr="00E21D00">
              <w:rPr>
                <w:rFonts w:ascii="Arial" w:hAnsi="Arial" w:cs="Arial"/>
                <w:sz w:val="22"/>
                <w:szCs w:val="22"/>
              </w:rPr>
              <w:t>‘Expert Level’</w:t>
            </w:r>
          </w:p>
          <w:p w14:paraId="5D99A644" w14:textId="1DABD0F4" w:rsidR="00B4663B" w:rsidRDefault="00B4663B" w:rsidP="00304B6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Assurance: </w:t>
            </w:r>
            <w:r w:rsidRPr="00E21D00">
              <w:rPr>
                <w:rFonts w:ascii="Arial" w:hAnsi="Arial" w:cs="Arial"/>
                <w:sz w:val="22"/>
                <w:szCs w:val="22"/>
              </w:rPr>
              <w:t>‘Expert Level’</w:t>
            </w:r>
          </w:p>
          <w:p w14:paraId="12541A01" w14:textId="77777777" w:rsidR="00B4663B" w:rsidRDefault="00B4663B" w:rsidP="00B4663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Control: ‘Proficient Level’</w:t>
            </w:r>
          </w:p>
          <w:p w14:paraId="4859F851" w14:textId="396A25FD" w:rsidR="00AD2A31" w:rsidRDefault="00AD2A31" w:rsidP="00304B6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</w:t>
            </w:r>
            <w:r w:rsidR="000B5F4E"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‘Expert Level’</w:t>
            </w:r>
          </w:p>
          <w:p w14:paraId="140EBE5C" w14:textId="0A5F02F8" w:rsidR="00AD2A31" w:rsidRDefault="00B4663B" w:rsidP="00304B6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Integrated Planning</w:t>
            </w:r>
            <w:r w:rsidR="000B5F4E"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</w:t>
            </w:r>
            <w:r w:rsidR="002450A1">
              <w:rPr>
                <w:rFonts w:ascii="Arial" w:hAnsi="Arial" w:cs="Arial"/>
                <w:sz w:val="22"/>
                <w:szCs w:val="22"/>
              </w:rPr>
              <w:t>Proficient Level</w:t>
            </w:r>
            <w:r w:rsidR="005025BB">
              <w:rPr>
                <w:rFonts w:ascii="Arial" w:hAnsi="Arial" w:cs="Arial"/>
                <w:sz w:val="22"/>
                <w:szCs w:val="22"/>
              </w:rPr>
              <w:t>’</w:t>
            </w:r>
          </w:p>
          <w:p w14:paraId="121F53CB" w14:textId="70ECA445" w:rsidR="00AD2A31" w:rsidRDefault="000B5F4E" w:rsidP="00304B6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B5F4E">
              <w:rPr>
                <w:rFonts w:ascii="Arial" w:hAnsi="Arial" w:cs="Arial"/>
                <w:sz w:val="22"/>
                <w:szCs w:val="22"/>
              </w:rPr>
              <w:t>Risk, Opportunity, and Issue Management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17EE5E93" w14:textId="232615C8" w:rsidR="000B5F4E" w:rsidRDefault="000B5F4E" w:rsidP="00304B6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Control: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29EE2346" w14:textId="34F14FF1" w:rsidR="00D021B2" w:rsidRPr="007F6931" w:rsidRDefault="00D021B2" w:rsidP="00B4663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EE4" w:rsidRPr="00152185" w14:paraId="4377CA89" w14:textId="77777777" w:rsidTr="00965659">
        <w:trPr>
          <w:trHeight w:val="1169"/>
        </w:trPr>
        <w:tc>
          <w:tcPr>
            <w:tcW w:w="9356" w:type="dxa"/>
          </w:tcPr>
          <w:p w14:paraId="714FD3F9" w14:textId="3A694ECE" w:rsidR="007F6931" w:rsidRDefault="007F6931" w:rsidP="007F693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E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</w:p>
          <w:p w14:paraId="47E00A16" w14:textId="5888F8DF" w:rsidR="007F6931" w:rsidRDefault="007F6931" w:rsidP="00304B6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1321">
              <w:rPr>
                <w:rFonts w:ascii="Arial" w:hAnsi="Arial" w:cs="Arial"/>
                <w:sz w:val="22"/>
                <w:szCs w:val="22"/>
              </w:rPr>
              <w:t xml:space="preserve">Significant project </w:t>
            </w:r>
            <w:r w:rsidR="00E44670">
              <w:rPr>
                <w:rFonts w:ascii="Arial" w:hAnsi="Arial" w:cs="Arial"/>
                <w:sz w:val="22"/>
                <w:szCs w:val="22"/>
              </w:rPr>
              <w:t>support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experience 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557B08" w:rsidRPr="00681321">
              <w:rPr>
                <w:rFonts w:ascii="Arial" w:hAnsi="Arial" w:cs="Arial"/>
                <w:sz w:val="22"/>
                <w:szCs w:val="22"/>
              </w:rPr>
              <w:t>across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multiple</w:t>
            </w:r>
            <w:r w:rsidR="00557B08" w:rsidRPr="00681321">
              <w:rPr>
                <w:rFonts w:ascii="Arial" w:hAnsi="Arial" w:cs="Arial"/>
                <w:sz w:val="22"/>
                <w:szCs w:val="22"/>
              </w:rPr>
              <w:t>,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complex</w:t>
            </w:r>
            <w:r w:rsidR="00557B08" w:rsidRPr="00681321">
              <w:rPr>
                <w:rFonts w:ascii="Arial" w:hAnsi="Arial" w:cs="Arial"/>
                <w:sz w:val="22"/>
                <w:szCs w:val="22"/>
              </w:rPr>
              <w:t>,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projects</w:t>
            </w:r>
            <w:r w:rsidR="00852069">
              <w:rPr>
                <w:rFonts w:ascii="Arial" w:hAnsi="Arial" w:cs="Arial"/>
                <w:sz w:val="22"/>
                <w:szCs w:val="22"/>
              </w:rPr>
              <w:t xml:space="preserve"> concurrently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B63AD5" w14:textId="7328828C" w:rsidR="00E44670" w:rsidRPr="00681321" w:rsidRDefault="00E44670" w:rsidP="00304B6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</w:t>
            </w:r>
            <w:r w:rsidR="00917653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ng understanding of financial controls.</w:t>
            </w:r>
          </w:p>
          <w:p w14:paraId="78EFBFD0" w14:textId="7BD08814" w:rsidR="007F6931" w:rsidRPr="00681321" w:rsidRDefault="00E21D00" w:rsidP="00304B6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04B6F">
              <w:rPr>
                <w:rFonts w:ascii="Arial" w:hAnsi="Arial" w:cs="Arial"/>
                <w:sz w:val="22"/>
                <w:szCs w:val="22"/>
              </w:rPr>
              <w:t xml:space="preserve">manufacturing 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>background</w:t>
            </w:r>
            <w:r w:rsidR="00B77C76" w:rsidRPr="0068132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ideally </w:t>
            </w:r>
            <w:r w:rsidR="00B77C76" w:rsidRPr="00681321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an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 xml:space="preserve"> engineering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 xml:space="preserve"> design and 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AA1B1D" w14:textId="0868DEF8" w:rsidR="00BD6E9C" w:rsidRDefault="00BD6E9C" w:rsidP="00304B6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1321">
              <w:rPr>
                <w:rFonts w:ascii="Arial" w:hAnsi="Arial" w:cs="Arial"/>
                <w:sz w:val="22"/>
                <w:szCs w:val="22"/>
              </w:rPr>
              <w:t>APM PMQ qualification, or equivalent.</w:t>
            </w:r>
          </w:p>
          <w:p w14:paraId="5BF92729" w14:textId="724E5248" w:rsidR="006A7455" w:rsidRPr="00681321" w:rsidRDefault="00217CBB" w:rsidP="00304B6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Formal training in </w:t>
            </w:r>
            <w:r w:rsidR="006A7455">
              <w:rPr>
                <w:rFonts w:ascii="Arial" w:hAnsi="Arial" w:cs="Arial"/>
                <w:sz w:val="22"/>
                <w:szCs w:val="22"/>
              </w:rPr>
              <w:t>Scheduling, Risk and Project Control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20965CEE" w14:textId="62B777B6" w:rsidR="00965659" w:rsidRPr="00D87EE4" w:rsidRDefault="00965659" w:rsidP="009656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1194" w:rsidRPr="00152185" w14:paraId="4003882A" w14:textId="77777777" w:rsidTr="00C66B70">
        <w:trPr>
          <w:trHeight w:val="510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05B73C92" w14:textId="77777777" w:rsidR="00C66B70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133E1945" w14:textId="00D2E811" w:rsidR="00C26EC5" w:rsidRPr="00557B08" w:rsidRDefault="00C66B70" w:rsidP="00C66B70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57B08">
              <w:rPr>
                <w:rFonts w:ascii="Arial" w:hAnsi="Arial" w:cs="Arial"/>
                <w:sz w:val="22"/>
                <w:szCs w:val="22"/>
              </w:rPr>
              <w:t xml:space="preserve">The jobholder will report to </w:t>
            </w:r>
            <w:r w:rsidR="00724DC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F6931" w:rsidRPr="00557B08">
              <w:rPr>
                <w:rFonts w:ascii="Arial" w:hAnsi="Arial" w:cs="Arial"/>
                <w:sz w:val="22"/>
                <w:szCs w:val="22"/>
              </w:rPr>
              <w:t>Head of PMO</w:t>
            </w:r>
            <w:r w:rsidR="00965659" w:rsidRPr="00557B0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2CD566" w14:textId="476E909B" w:rsidR="00965659" w:rsidRPr="00251194" w:rsidRDefault="00965659" w:rsidP="00C66B70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B70" w:rsidRPr="00152185" w14:paraId="11C298F2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76BA9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7009038B" w14:textId="0865CB3A" w:rsidR="00C66B70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szCs w:val="22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 will </w:t>
            </w:r>
            <w:proofErr w:type="gramStart"/>
            <w:r w:rsidRPr="00C42CA1">
              <w:rPr>
                <w:rFonts w:ascii="Arial" w:hAnsi="Arial" w:cs="Arial"/>
                <w:b w:val="0"/>
                <w:szCs w:val="22"/>
              </w:rPr>
              <w:t>be located in</w:t>
            </w:r>
            <w:proofErr w:type="gramEnd"/>
            <w:r w:rsidRPr="00C42CA1">
              <w:rPr>
                <w:rFonts w:ascii="Arial" w:hAnsi="Arial" w:cs="Arial"/>
                <w:b w:val="0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Cs w:val="22"/>
              </w:rPr>
              <w:t>Barnstaple</w:t>
            </w:r>
            <w:r w:rsidR="00532AE2">
              <w:rPr>
                <w:rFonts w:ascii="Arial" w:hAnsi="Arial" w:cs="Arial"/>
                <w:b w:val="0"/>
                <w:szCs w:val="22"/>
              </w:rPr>
              <w:t xml:space="preserve"> or Bristol</w:t>
            </w:r>
            <w:r>
              <w:rPr>
                <w:rFonts w:ascii="Arial" w:hAnsi="Arial" w:cs="Arial"/>
                <w:b w:val="0"/>
                <w:szCs w:val="22"/>
              </w:rPr>
              <w:t xml:space="preserve">, with hybrid working patterns available. </w:t>
            </w:r>
            <w:proofErr w:type="gramStart"/>
            <w:r>
              <w:rPr>
                <w:rFonts w:ascii="Arial" w:hAnsi="Arial" w:cs="Arial"/>
                <w:b w:val="0"/>
                <w:szCs w:val="22"/>
              </w:rPr>
              <w:t>Typically</w:t>
            </w:r>
            <w:proofErr w:type="gramEnd"/>
            <w:r>
              <w:rPr>
                <w:rFonts w:ascii="Arial" w:hAnsi="Arial" w:cs="Arial"/>
                <w:b w:val="0"/>
                <w:szCs w:val="22"/>
              </w:rPr>
              <w:t xml:space="preserve"> 3 days in the office and 2 days working remotely (home or other site).</w:t>
            </w:r>
          </w:p>
          <w:p w14:paraId="21DF6216" w14:textId="5939DAA1" w:rsidR="00965659" w:rsidRPr="00965659" w:rsidRDefault="00965659" w:rsidP="00965659"/>
        </w:tc>
      </w:tr>
      <w:tr w:rsidR="00C66B70" w:rsidRPr="00152185" w14:paraId="33EFCA25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03EF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4FBCD345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1A01EA31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821166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E2475A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1E6F6E86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  <w:tr w:rsidR="00C66B70" w:rsidRPr="00152185" w14:paraId="511552D3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CC87A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07D3C033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618109C4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60889C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658B6F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304E90CA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7DF0591" w14:textId="494396B4" w:rsidR="00EF050A" w:rsidRDefault="00EF050A"/>
    <w:p w14:paraId="095DA31C" w14:textId="77777777" w:rsidR="00DA6B51" w:rsidRPr="00186EAC" w:rsidRDefault="00DA6B51">
      <w:pPr>
        <w:rPr>
          <w:rFonts w:ascii="Arial" w:hAnsi="Arial" w:cs="Arial"/>
          <w:sz w:val="22"/>
          <w:szCs w:val="22"/>
        </w:rPr>
      </w:pPr>
    </w:p>
    <w:sectPr w:rsidR="00DA6B51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4672" w14:textId="77777777" w:rsidR="00AB2702" w:rsidRDefault="00AB2702" w:rsidP="00DA6B51">
      <w:r>
        <w:separator/>
      </w:r>
    </w:p>
  </w:endnote>
  <w:endnote w:type="continuationSeparator" w:id="0">
    <w:p w14:paraId="6C1E0670" w14:textId="77777777" w:rsidR="00AB2702" w:rsidRDefault="00AB2702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3142" w14:textId="77777777" w:rsidR="00DA6B51" w:rsidRDefault="00DA6B51">
    <w:pPr>
      <w:pStyle w:val="Footer"/>
      <w:rPr>
        <w:sz w:val="18"/>
        <w:lang w:val="en-US"/>
      </w:rPr>
    </w:pPr>
    <w:r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7C7E42">
      <w:rPr>
        <w:noProof/>
        <w:sz w:val="18"/>
        <w:lang w:val="en-US"/>
      </w:rPr>
      <w:t>1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034E78D7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F09F" w14:textId="77777777" w:rsidR="00AB2702" w:rsidRDefault="00AB2702" w:rsidP="00DA6B51">
      <w:r>
        <w:separator/>
      </w:r>
    </w:p>
  </w:footnote>
  <w:footnote w:type="continuationSeparator" w:id="0">
    <w:p w14:paraId="239AA8DF" w14:textId="77777777" w:rsidR="00AB2702" w:rsidRDefault="00AB2702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33B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502B89B" w14:textId="77777777" w:rsidR="00DA6B51" w:rsidRDefault="00402F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99E48" wp14:editId="4ED9D120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A7E5" w14:textId="77777777" w:rsidR="00B67287" w:rsidRPr="00B67287" w:rsidRDefault="00AC45C0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99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3E1A7E5" w14:textId="77777777" w:rsidR="00B67287" w:rsidRPr="00B67287" w:rsidRDefault="00AC45C0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br/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</w:p>
                </w:txbxContent>
              </v:textbox>
            </v:shape>
          </w:pict>
        </mc:Fallback>
      </mc:AlternateContent>
    </w:r>
  </w:p>
  <w:p w14:paraId="04711211" w14:textId="10521AA5" w:rsidR="00DA6B51" w:rsidRDefault="003738D2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497A5357" wp14:editId="74DC0546">
          <wp:extent cx="2369820" cy="670560"/>
          <wp:effectExtent l="0" t="0" r="0" b="0"/>
          <wp:docPr id="4" name="Picture 4" descr="SEA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28B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17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A7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A4B2D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4C0F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99A80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F91C5F6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Theme="majorHAnsi" w:hAnsiTheme="majorHAnsi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Theme="majorHAnsi" w:hAnsiTheme="majorHAnsi"/>
      </w:rPr>
    </w:lvl>
    <w:lvl w:ilvl="5">
      <w:start w:val="1"/>
      <w:numFmt w:val="upperLetter"/>
      <w:pStyle w:val="Heading6"/>
      <w:suff w:val="nothing"/>
      <w:lvlText w:val="Annex %6"/>
      <w:lvlJc w:val="left"/>
      <w:pPr>
        <w:ind w:left="0" w:firstLine="0"/>
      </w:pPr>
      <w:rPr>
        <w:rFonts w:asciiTheme="majorHAnsi" w:hAnsiTheme="majorHAnsi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8">
      <w:start w:val="1"/>
      <w:numFmt w:val="decimal"/>
      <w:pStyle w:val="Heading9"/>
      <w:lvlText w:val="%6.%7.%8.%9"/>
      <w:lvlJc w:val="left"/>
      <w:pPr>
        <w:ind w:left="1440" w:hanging="1440"/>
      </w:pPr>
      <w:rPr>
        <w:rFonts w:asciiTheme="majorHAnsi" w:hAnsiTheme="majorHAnsi"/>
      </w:rPr>
    </w:lvl>
  </w:abstractNum>
  <w:abstractNum w:abstractNumId="7" w15:restartNumberingAfterBreak="0">
    <w:nsid w:val="0EBE5068"/>
    <w:multiLevelType w:val="multilevel"/>
    <w:tmpl w:val="7C28A25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  <w:vanish w:val="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-216" w:hanging="504"/>
      </w:pPr>
    </w:lvl>
    <w:lvl w:ilvl="3">
      <w:start w:val="1"/>
      <w:numFmt w:val="decimal"/>
      <w:lvlText w:val="%1.%2.%3.%4."/>
      <w:lvlJc w:val="left"/>
      <w:pPr>
        <w:ind w:left="28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1296" w:hanging="936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304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8" w15:restartNumberingAfterBreak="0">
    <w:nsid w:val="10274FD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12AE63F3"/>
    <w:multiLevelType w:val="multilevel"/>
    <w:tmpl w:val="7F32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B4FA3"/>
    <w:multiLevelType w:val="multilevel"/>
    <w:tmpl w:val="D2440A7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1" w15:restartNumberingAfterBreak="0">
    <w:nsid w:val="3D1C20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F93AEF"/>
    <w:multiLevelType w:val="multilevel"/>
    <w:tmpl w:val="8806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1906C7"/>
    <w:multiLevelType w:val="hybridMultilevel"/>
    <w:tmpl w:val="A0FC9406"/>
    <w:lvl w:ilvl="0" w:tplc="4EEA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F47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6363787">
    <w:abstractNumId w:val="6"/>
  </w:num>
  <w:num w:numId="2" w16cid:durableId="740254036">
    <w:abstractNumId w:val="10"/>
  </w:num>
  <w:num w:numId="3" w16cid:durableId="875241061">
    <w:abstractNumId w:val="7"/>
  </w:num>
  <w:num w:numId="4" w16cid:durableId="830372826">
    <w:abstractNumId w:val="11"/>
  </w:num>
  <w:num w:numId="5" w16cid:durableId="222647035">
    <w:abstractNumId w:val="14"/>
  </w:num>
  <w:num w:numId="6" w16cid:durableId="845948726">
    <w:abstractNumId w:val="8"/>
  </w:num>
  <w:num w:numId="7" w16cid:durableId="13306649">
    <w:abstractNumId w:val="5"/>
  </w:num>
  <w:num w:numId="8" w16cid:durableId="1381785457">
    <w:abstractNumId w:val="4"/>
  </w:num>
  <w:num w:numId="9" w16cid:durableId="126970204">
    <w:abstractNumId w:val="3"/>
  </w:num>
  <w:num w:numId="10" w16cid:durableId="935139211">
    <w:abstractNumId w:val="2"/>
  </w:num>
  <w:num w:numId="11" w16cid:durableId="1429236515">
    <w:abstractNumId w:val="1"/>
  </w:num>
  <w:num w:numId="12" w16cid:durableId="473378488">
    <w:abstractNumId w:val="0"/>
  </w:num>
  <w:num w:numId="13" w16cid:durableId="1121724974">
    <w:abstractNumId w:val="9"/>
  </w:num>
  <w:num w:numId="14" w16cid:durableId="425468229">
    <w:abstractNumId w:val="12"/>
  </w:num>
  <w:num w:numId="15" w16cid:durableId="195385408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047DB"/>
    <w:rsid w:val="000252C8"/>
    <w:rsid w:val="00030F34"/>
    <w:rsid w:val="0003441C"/>
    <w:rsid w:val="0004373C"/>
    <w:rsid w:val="00046D6F"/>
    <w:rsid w:val="00055B73"/>
    <w:rsid w:val="00096260"/>
    <w:rsid w:val="000A6710"/>
    <w:rsid w:val="000A6B29"/>
    <w:rsid w:val="000B4EE7"/>
    <w:rsid w:val="000B5F4E"/>
    <w:rsid w:val="000E4EE8"/>
    <w:rsid w:val="000F38B1"/>
    <w:rsid w:val="00113D5F"/>
    <w:rsid w:val="00136118"/>
    <w:rsid w:val="0014475A"/>
    <w:rsid w:val="00152185"/>
    <w:rsid w:val="001722A1"/>
    <w:rsid w:val="001732A3"/>
    <w:rsid w:val="00186EAC"/>
    <w:rsid w:val="001C5D8F"/>
    <w:rsid w:val="001F5093"/>
    <w:rsid w:val="00213CA5"/>
    <w:rsid w:val="00217CBB"/>
    <w:rsid w:val="002239C5"/>
    <w:rsid w:val="00226452"/>
    <w:rsid w:val="00232BC6"/>
    <w:rsid w:val="0023625C"/>
    <w:rsid w:val="002450A1"/>
    <w:rsid w:val="00251194"/>
    <w:rsid w:val="00255F17"/>
    <w:rsid w:val="0025602C"/>
    <w:rsid w:val="00260765"/>
    <w:rsid w:val="00264D02"/>
    <w:rsid w:val="00264E7B"/>
    <w:rsid w:val="002829B0"/>
    <w:rsid w:val="00282AB2"/>
    <w:rsid w:val="00286627"/>
    <w:rsid w:val="00287795"/>
    <w:rsid w:val="002A3453"/>
    <w:rsid w:val="002C7AB1"/>
    <w:rsid w:val="002E2374"/>
    <w:rsid w:val="002F3439"/>
    <w:rsid w:val="002F4A92"/>
    <w:rsid w:val="00300A63"/>
    <w:rsid w:val="00304B6F"/>
    <w:rsid w:val="003060BD"/>
    <w:rsid w:val="0032237B"/>
    <w:rsid w:val="00335B03"/>
    <w:rsid w:val="003429D5"/>
    <w:rsid w:val="00345DC8"/>
    <w:rsid w:val="00353167"/>
    <w:rsid w:val="00355FCB"/>
    <w:rsid w:val="00364707"/>
    <w:rsid w:val="003738D2"/>
    <w:rsid w:val="00387FC1"/>
    <w:rsid w:val="00394BEF"/>
    <w:rsid w:val="00395F0A"/>
    <w:rsid w:val="00397527"/>
    <w:rsid w:val="003B02BA"/>
    <w:rsid w:val="003E6EE7"/>
    <w:rsid w:val="00402E6E"/>
    <w:rsid w:val="00402F90"/>
    <w:rsid w:val="00406885"/>
    <w:rsid w:val="00437EA2"/>
    <w:rsid w:val="004A68A9"/>
    <w:rsid w:val="004B789B"/>
    <w:rsid w:val="004C6FA4"/>
    <w:rsid w:val="004D7924"/>
    <w:rsid w:val="004E1F2C"/>
    <w:rsid w:val="004F0DC5"/>
    <w:rsid w:val="005023DB"/>
    <w:rsid w:val="005025BB"/>
    <w:rsid w:val="00532AE2"/>
    <w:rsid w:val="005478F2"/>
    <w:rsid w:val="00552079"/>
    <w:rsid w:val="00557B08"/>
    <w:rsid w:val="00570708"/>
    <w:rsid w:val="00574EB1"/>
    <w:rsid w:val="005944D3"/>
    <w:rsid w:val="005C1CDA"/>
    <w:rsid w:val="005D0C4F"/>
    <w:rsid w:val="005F509E"/>
    <w:rsid w:val="0063009D"/>
    <w:rsid w:val="00630577"/>
    <w:rsid w:val="00634EA6"/>
    <w:rsid w:val="006738A5"/>
    <w:rsid w:val="00681321"/>
    <w:rsid w:val="006830E6"/>
    <w:rsid w:val="00696C2B"/>
    <w:rsid w:val="006A7455"/>
    <w:rsid w:val="006D61B5"/>
    <w:rsid w:val="006E6B0C"/>
    <w:rsid w:val="006F0C16"/>
    <w:rsid w:val="006F41A9"/>
    <w:rsid w:val="00706305"/>
    <w:rsid w:val="00711DF7"/>
    <w:rsid w:val="0071391B"/>
    <w:rsid w:val="007200A8"/>
    <w:rsid w:val="0072379D"/>
    <w:rsid w:val="00724DC4"/>
    <w:rsid w:val="00731B32"/>
    <w:rsid w:val="00746FC0"/>
    <w:rsid w:val="00747E4E"/>
    <w:rsid w:val="0076055F"/>
    <w:rsid w:val="00765751"/>
    <w:rsid w:val="007719F6"/>
    <w:rsid w:val="0079052B"/>
    <w:rsid w:val="00794F79"/>
    <w:rsid w:val="007C1C82"/>
    <w:rsid w:val="007C4CB4"/>
    <w:rsid w:val="007C658E"/>
    <w:rsid w:val="007C7E42"/>
    <w:rsid w:val="007D3395"/>
    <w:rsid w:val="007E55B0"/>
    <w:rsid w:val="007F6931"/>
    <w:rsid w:val="00801851"/>
    <w:rsid w:val="0080248A"/>
    <w:rsid w:val="00804898"/>
    <w:rsid w:val="00805F35"/>
    <w:rsid w:val="0083615D"/>
    <w:rsid w:val="00841AAD"/>
    <w:rsid w:val="00851BC7"/>
    <w:rsid w:val="00852069"/>
    <w:rsid w:val="008807AB"/>
    <w:rsid w:val="0089213A"/>
    <w:rsid w:val="00897B74"/>
    <w:rsid w:val="008C0327"/>
    <w:rsid w:val="008C3944"/>
    <w:rsid w:val="008C3D41"/>
    <w:rsid w:val="008D2272"/>
    <w:rsid w:val="008D432B"/>
    <w:rsid w:val="008D4E89"/>
    <w:rsid w:val="008D51F9"/>
    <w:rsid w:val="008E10CB"/>
    <w:rsid w:val="008E71A4"/>
    <w:rsid w:val="008E778E"/>
    <w:rsid w:val="008F6012"/>
    <w:rsid w:val="00905C40"/>
    <w:rsid w:val="00917653"/>
    <w:rsid w:val="009337C3"/>
    <w:rsid w:val="00933F8B"/>
    <w:rsid w:val="0093521B"/>
    <w:rsid w:val="009374E2"/>
    <w:rsid w:val="009407BD"/>
    <w:rsid w:val="0095433B"/>
    <w:rsid w:val="009573FA"/>
    <w:rsid w:val="00965659"/>
    <w:rsid w:val="009813CA"/>
    <w:rsid w:val="009B0B38"/>
    <w:rsid w:val="009B1197"/>
    <w:rsid w:val="009C56FE"/>
    <w:rsid w:val="009D026F"/>
    <w:rsid w:val="009D2977"/>
    <w:rsid w:val="009E5783"/>
    <w:rsid w:val="009F116F"/>
    <w:rsid w:val="00A016EE"/>
    <w:rsid w:val="00A02E70"/>
    <w:rsid w:val="00A419BA"/>
    <w:rsid w:val="00A6204F"/>
    <w:rsid w:val="00A66910"/>
    <w:rsid w:val="00A75284"/>
    <w:rsid w:val="00A8531E"/>
    <w:rsid w:val="00A90253"/>
    <w:rsid w:val="00A97821"/>
    <w:rsid w:val="00AA0A7F"/>
    <w:rsid w:val="00AB2702"/>
    <w:rsid w:val="00AC45C0"/>
    <w:rsid w:val="00AC5C8C"/>
    <w:rsid w:val="00AD2885"/>
    <w:rsid w:val="00AD2A31"/>
    <w:rsid w:val="00B12D18"/>
    <w:rsid w:val="00B36EEF"/>
    <w:rsid w:val="00B4663B"/>
    <w:rsid w:val="00B46BD5"/>
    <w:rsid w:val="00B518B4"/>
    <w:rsid w:val="00B544E2"/>
    <w:rsid w:val="00B559D3"/>
    <w:rsid w:val="00B67287"/>
    <w:rsid w:val="00B71696"/>
    <w:rsid w:val="00B77C76"/>
    <w:rsid w:val="00B96ABE"/>
    <w:rsid w:val="00BC2CAA"/>
    <w:rsid w:val="00BC37FC"/>
    <w:rsid w:val="00BC778E"/>
    <w:rsid w:val="00BD670B"/>
    <w:rsid w:val="00BD6E9C"/>
    <w:rsid w:val="00BF1EEE"/>
    <w:rsid w:val="00BF4C46"/>
    <w:rsid w:val="00BF6FD8"/>
    <w:rsid w:val="00C26EC5"/>
    <w:rsid w:val="00C37F31"/>
    <w:rsid w:val="00C42CA1"/>
    <w:rsid w:val="00C60375"/>
    <w:rsid w:val="00C615E7"/>
    <w:rsid w:val="00C66B70"/>
    <w:rsid w:val="00C72031"/>
    <w:rsid w:val="00C82F72"/>
    <w:rsid w:val="00C9404F"/>
    <w:rsid w:val="00CE4900"/>
    <w:rsid w:val="00CF7119"/>
    <w:rsid w:val="00D021B2"/>
    <w:rsid w:val="00D068F2"/>
    <w:rsid w:val="00D24D12"/>
    <w:rsid w:val="00D444DC"/>
    <w:rsid w:val="00D4655A"/>
    <w:rsid w:val="00D479C7"/>
    <w:rsid w:val="00D66955"/>
    <w:rsid w:val="00D80BF6"/>
    <w:rsid w:val="00D87EE4"/>
    <w:rsid w:val="00D94B3E"/>
    <w:rsid w:val="00DA6B51"/>
    <w:rsid w:val="00DC597F"/>
    <w:rsid w:val="00DE13A0"/>
    <w:rsid w:val="00DF09AB"/>
    <w:rsid w:val="00E0517F"/>
    <w:rsid w:val="00E0699C"/>
    <w:rsid w:val="00E17B5A"/>
    <w:rsid w:val="00E21D00"/>
    <w:rsid w:val="00E24452"/>
    <w:rsid w:val="00E2708B"/>
    <w:rsid w:val="00E328FB"/>
    <w:rsid w:val="00E35934"/>
    <w:rsid w:val="00E44670"/>
    <w:rsid w:val="00E90847"/>
    <w:rsid w:val="00E9545F"/>
    <w:rsid w:val="00EB5B8C"/>
    <w:rsid w:val="00EC6F9D"/>
    <w:rsid w:val="00ED0E9D"/>
    <w:rsid w:val="00ED65A2"/>
    <w:rsid w:val="00EF050A"/>
    <w:rsid w:val="00EF3481"/>
    <w:rsid w:val="00F04CC5"/>
    <w:rsid w:val="00F16567"/>
    <w:rsid w:val="00F27FC3"/>
    <w:rsid w:val="00F516B3"/>
    <w:rsid w:val="00F967CA"/>
    <w:rsid w:val="00F97775"/>
    <w:rsid w:val="00FC5D31"/>
    <w:rsid w:val="00FE3A8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CFC60"/>
  <w15:docId w15:val="{8AF557D3-CA0D-4D00-A266-D57CAED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0CB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rsid w:val="008E10C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0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0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0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0C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0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0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0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semiHidden/>
    <w:rPr>
      <w:rFonts w:ascii="Tahoma" w:hAnsi="Tahoma"/>
      <w:b/>
    </w:rPr>
  </w:style>
  <w:style w:type="paragraph" w:customStyle="1" w:styleId="Description">
    <w:name w:val="Description"/>
    <w:basedOn w:val="Normal"/>
    <w:semiHidden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semiHidden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semiHidden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semiHidden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ListBullet">
    <w:name w:val="List Bullet"/>
    <w:basedOn w:val="Normal"/>
    <w:uiPriority w:val="99"/>
    <w:unhideWhenUsed/>
    <w:rsid w:val="008E10C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8E10CB"/>
    <w:pPr>
      <w:numPr>
        <w:ilvl w:val="1"/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8E10CB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unhideWhenUsed/>
    <w:rsid w:val="008E10CB"/>
    <w:pPr>
      <w:numPr>
        <w:ilvl w:val="1"/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10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E10C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E10C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E10C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E10C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E10C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E10CB"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10CB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8E10CB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8E10CB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10CB"/>
  </w:style>
  <w:style w:type="paragraph" w:styleId="BlockText">
    <w:name w:val="Block Text"/>
    <w:basedOn w:val="Normal"/>
    <w:uiPriority w:val="99"/>
    <w:semiHidden/>
    <w:unhideWhenUsed/>
    <w:rsid w:val="008E10C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E10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CB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10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0C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10CB"/>
    <w:pPr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10CB"/>
    <w:rPr>
      <w:rFonts w:ascii="Tahoma" w:hAnsi="Tahoma" w:cs="Tahoma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10CB"/>
    <w:rPr>
      <w:rFonts w:ascii="Tahoma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10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0CB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10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10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CB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1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0CB"/>
    <w:rPr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8E10C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0C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8E10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10CB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CB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10CB"/>
  </w:style>
  <w:style w:type="character" w:customStyle="1" w:styleId="DateChar">
    <w:name w:val="Date Char"/>
    <w:basedOn w:val="DefaultParagraphFont"/>
    <w:link w:val="Date"/>
    <w:uiPriority w:val="99"/>
    <w:semiHidden/>
    <w:rsid w:val="008E10C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10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10CB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10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0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0CB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10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10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0C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0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0CB"/>
    <w:rPr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10CB"/>
  </w:style>
  <w:style w:type="paragraph" w:styleId="HTMLAddress">
    <w:name w:val="HTML Address"/>
    <w:basedOn w:val="Normal"/>
    <w:link w:val="HTMLAddressChar"/>
    <w:uiPriority w:val="99"/>
    <w:semiHidden/>
    <w:unhideWhenUsed/>
    <w:rsid w:val="008E10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10CB"/>
    <w:rPr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E10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10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0CB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10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10CB"/>
    <w:rPr>
      <w:i/>
      <w:iCs/>
    </w:rPr>
  </w:style>
  <w:style w:type="character" w:styleId="Hyperlink">
    <w:name w:val="Hyperlink"/>
    <w:basedOn w:val="DefaultParagraphFont"/>
    <w:uiPriority w:val="99"/>
    <w:unhideWhenUsed/>
    <w:rsid w:val="008E10C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10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10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10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10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10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10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10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10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10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10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E10C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CB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10CB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E10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E10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E10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E10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E10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E10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E10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10CB"/>
  </w:style>
  <w:style w:type="paragraph" w:styleId="List">
    <w:name w:val="List"/>
    <w:basedOn w:val="Normal"/>
    <w:uiPriority w:val="99"/>
    <w:semiHidden/>
    <w:unhideWhenUsed/>
    <w:rsid w:val="008E10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10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10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10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10C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8E10CB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0CB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0CB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10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10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10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10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10C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8E10C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0C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0CB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10CB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1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10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E10C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10CB"/>
  </w:style>
  <w:style w:type="paragraph" w:styleId="NormalIndent">
    <w:name w:val="Normal Indent"/>
    <w:basedOn w:val="Normal"/>
    <w:uiPriority w:val="99"/>
    <w:semiHidden/>
    <w:unhideWhenUsed/>
    <w:rsid w:val="008E10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10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10C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10CB"/>
  </w:style>
  <w:style w:type="character" w:styleId="PlaceholderText">
    <w:name w:val="Placeholder Text"/>
    <w:basedOn w:val="DefaultParagraphFont"/>
    <w:uiPriority w:val="99"/>
    <w:semiHidden/>
    <w:rsid w:val="008E10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0CB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10CB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10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10CB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10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10CB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E10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10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E10C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8E10C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E10CB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E10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10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10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10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10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10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10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10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10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10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10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10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10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10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10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10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10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0C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10CB"/>
  </w:style>
  <w:style w:type="table" w:styleId="TableProfessional">
    <w:name w:val="Table Professional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10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10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10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10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1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10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10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E10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0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10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10CB"/>
  </w:style>
  <w:style w:type="paragraph" w:styleId="TOC2">
    <w:name w:val="toc 2"/>
    <w:basedOn w:val="Normal"/>
    <w:next w:val="Normal"/>
    <w:autoRedefine/>
    <w:uiPriority w:val="39"/>
    <w:semiHidden/>
    <w:unhideWhenUsed/>
    <w:rsid w:val="008E10C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10C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10C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10C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10C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10C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10C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10C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0CB"/>
    <w:pPr>
      <w:keepLines w:val="0"/>
      <w:pageBreakBefore w:val="0"/>
      <w:numPr>
        <w:numId w:val="0"/>
      </w:numPr>
      <w:overflowPunct/>
      <w:autoSpaceDE/>
      <w:autoSpaceDN/>
      <w:adjustRightInd/>
      <w:spacing w:after="60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2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ea.co.uk/?utm_source=email-footer&amp;utm_medium=email&amp;utm_campaign=sea-email-signature&amp;utm_content=sea-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AD42B1E7F144D9BE10ADEC07977CF" ma:contentTypeVersion="2" ma:contentTypeDescription="Create a new document." ma:contentTypeScope="" ma:versionID="6e26b6f7056692ff4261e23b46a523f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4db4d339384b6b61a089db26d2cb0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E828B2-02B5-4534-A331-FAA175A3F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4CB7B-FB9A-4E0F-8E89-01944AF6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F46D96-32E4-4E15-B17D-DE73955D92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F8D8F-F221-4447-91D8-EDDA41064B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3</Pages>
  <Words>567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creator>csp2</dc:creator>
  <cp:lastModifiedBy>Steve Langbridge</cp:lastModifiedBy>
  <cp:revision>25</cp:revision>
  <cp:lastPrinted>2014-11-14T08:50:00Z</cp:lastPrinted>
  <dcterms:created xsi:type="dcterms:W3CDTF">2024-10-23T11:01:00Z</dcterms:created>
  <dcterms:modified xsi:type="dcterms:W3CDTF">2025-02-06T11:04:00Z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 Hidden">
    <vt:bool>true</vt:bool>
  </property>
  <property fmtid="{D5CDD505-2E9C-101B-9397-08002B2CF9AE}" pid="3" name="Print Hidden">
    <vt:bool>true</vt:bool>
  </property>
</Properties>
</file>