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37B" w:rsidRDefault="0032237B" w14:paraId="1DC54417" w14:textId="77777777">
      <w:pPr>
        <w:rPr>
          <w:rFonts w:ascii="Tahoma" w:hAnsi="Tahoma" w:cs="Tahoma"/>
          <w:sz w:val="20"/>
        </w:rPr>
      </w:pPr>
    </w:p>
    <w:p w:rsidR="00DA6B51" w:rsidRDefault="00251194" w14:paraId="33D1F628" w14:textId="77777777">
      <w:pPr>
        <w:rPr>
          <w:rFonts w:ascii="Tahoma" w:hAnsi="Tahoma" w:cs="Tahoma"/>
          <w:sz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:rsidTr="6A20F430" w14:paraId="76D268E7" w14:textId="77777777"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4E89" w:rsidR="00192694" w:rsidP="00D96BBB" w:rsidRDefault="00192694" w14:paraId="18DD2CAB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850A43" w14:paraId="78076CEE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50A43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Business Development Executive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192694" w14:paraId="4FEACF9F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192694" w14:paraId="7E2BF13B" w14:textId="35613CE5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6A20F430" w:rsidR="247DF14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US"/>
              </w:rPr>
              <w:t>Vacant</w:t>
            </w:r>
          </w:p>
        </w:tc>
      </w:tr>
      <w:tr w:rsidR="00192694" w:rsidTr="6A20F430" w14:paraId="4D9DD5FD" w14:textId="77777777"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4E89" w:rsidR="00192694" w:rsidP="00D96BBB" w:rsidRDefault="00192694" w14:paraId="010F6B85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850A43" w14:paraId="479C7BB2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0A4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Functional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192694" w14:paraId="59424636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7CF192C1" w:rsidRDefault="00850A43" w14:paraId="5E8C7628" w14:textId="10D8E654">
            <w:pPr>
              <w:spacing w:before="120" w:after="120"/>
              <w:ind w:left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6A20F430" w:rsidR="33701E7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val="en-US"/>
              </w:rPr>
              <w:t>Exec 1</w:t>
            </w:r>
          </w:p>
        </w:tc>
      </w:tr>
      <w:tr w:rsidR="00192694" w:rsidTr="6A20F430" w14:paraId="766FD978" w14:textId="77777777"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611035" w14:paraId="3B27359C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850A43" w14:paraId="6A406E52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850A4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Business Development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92694" w:rsidP="00D96BBB" w:rsidRDefault="00192694" w14:paraId="44D53906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4E89" w:rsidR="00192694" w:rsidP="00D96BBB" w:rsidRDefault="00850A43" w14:paraId="42F970F9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</w:t>
            </w:r>
          </w:p>
        </w:tc>
      </w:tr>
    </w:tbl>
    <w:p w:rsidRPr="00884818" w:rsidR="00186EAC" w:rsidP="00186EAC" w:rsidRDefault="00186EAC" w14:paraId="3BF6C8B4" w14:textId="77777777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152185" w:rsidR="00186EAC" w:rsidTr="6A20F430" w14:paraId="5455AF56" w14:textId="77777777">
        <w:trPr>
          <w:trHeight w:val="510"/>
        </w:trPr>
        <w:tc>
          <w:tcPr>
            <w:tcW w:w="9356" w:type="dxa"/>
            <w:tcBorders>
              <w:bottom w:val="single" w:color="auto" w:sz="4" w:space="0"/>
            </w:tcBorders>
            <w:tcMar/>
            <w:vAlign w:val="center"/>
          </w:tcPr>
          <w:p w:rsidR="00607DE1" w:rsidP="00607DE1" w:rsidRDefault="00251194" w14:paraId="057E81D4" w14:textId="7777777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  <w:p w:rsidR="00F51B4F" w:rsidP="00607DE1" w:rsidRDefault="004F365E" w14:paraId="61474CB9" w14:textId="30994E9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6A20F430" w:rsidR="004F365E">
              <w:rPr>
                <w:rFonts w:ascii="Arial" w:hAnsi="Arial" w:cs="Arial"/>
                <w:sz w:val="22"/>
                <w:szCs w:val="22"/>
              </w:rPr>
              <w:t xml:space="preserve">Primary purpose of this role will be to </w:t>
            </w:r>
            <w:r w:rsidRPr="6A20F430" w:rsidR="004F365E">
              <w:rPr>
                <w:rFonts w:ascii="Arial" w:hAnsi="Arial" w:cs="Arial"/>
                <w:sz w:val="22"/>
                <w:szCs w:val="22"/>
              </w:rPr>
              <w:t xml:space="preserve">secure business </w:t>
            </w:r>
            <w:r w:rsidRPr="6A20F430" w:rsidR="00257030">
              <w:rPr>
                <w:rFonts w:ascii="Arial" w:hAnsi="Arial" w:cs="Arial"/>
                <w:sz w:val="22"/>
                <w:szCs w:val="22"/>
              </w:rPr>
              <w:t>across SEA’s UK and international defence portfolio</w:t>
            </w:r>
            <w:r w:rsidRPr="6A20F430" w:rsidR="002570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A20F430" w:rsidR="004F365E">
              <w:rPr>
                <w:rFonts w:ascii="Arial" w:hAnsi="Arial" w:cs="Arial"/>
                <w:sz w:val="22"/>
                <w:szCs w:val="22"/>
              </w:rPr>
              <w:t>both on the government side and with industry primes</w:t>
            </w:r>
            <w:r w:rsidRPr="6A20F430" w:rsidR="164340E4">
              <w:rPr>
                <w:rFonts w:ascii="Arial" w:hAnsi="Arial" w:cs="Arial"/>
                <w:sz w:val="22"/>
                <w:szCs w:val="22"/>
              </w:rPr>
              <w:t>. I</w:t>
            </w:r>
            <w:r w:rsidRPr="6A20F430" w:rsidR="00F51B4F">
              <w:rPr>
                <w:rFonts w:ascii="Arial" w:hAnsi="Arial" w:cs="Arial"/>
                <w:sz w:val="22"/>
                <w:szCs w:val="22"/>
              </w:rPr>
              <w:t>n alignment with SEA’s core market</w:t>
            </w:r>
            <w:r w:rsidRPr="6A20F430" w:rsidR="7904F946">
              <w:rPr>
                <w:rFonts w:ascii="Arial" w:hAnsi="Arial" w:cs="Arial"/>
                <w:sz w:val="22"/>
                <w:szCs w:val="22"/>
              </w:rPr>
              <w:t>,</w:t>
            </w:r>
            <w:r w:rsidRPr="6A20F430" w:rsidR="00F51B4F">
              <w:rPr>
                <w:rFonts w:ascii="Arial" w:hAnsi="Arial" w:cs="Arial"/>
                <w:sz w:val="22"/>
                <w:szCs w:val="22"/>
              </w:rPr>
              <w:t xml:space="preserve"> this would </w:t>
            </w:r>
            <w:r w:rsidRPr="6A20F430" w:rsidR="00F51B4F">
              <w:rPr>
                <w:rFonts w:ascii="Arial" w:hAnsi="Arial" w:cs="Arial"/>
                <w:sz w:val="22"/>
                <w:szCs w:val="22"/>
              </w:rPr>
              <w:t>predominantly be</w:t>
            </w:r>
            <w:r w:rsidRPr="6A20F430" w:rsidR="00F51B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A20F430" w:rsidR="00CA3DA8">
              <w:rPr>
                <w:rFonts w:ascii="Arial" w:hAnsi="Arial" w:cs="Arial"/>
                <w:sz w:val="22"/>
                <w:szCs w:val="22"/>
              </w:rPr>
              <w:t>around</w:t>
            </w:r>
            <w:r w:rsidRPr="6A20F430" w:rsidR="00F51B4F">
              <w:rPr>
                <w:rFonts w:ascii="Arial" w:hAnsi="Arial" w:cs="Arial"/>
                <w:sz w:val="22"/>
                <w:szCs w:val="22"/>
              </w:rPr>
              <w:t xml:space="preserve"> naval </w:t>
            </w:r>
            <w:r w:rsidRPr="6A20F430" w:rsidR="00CA3DA8">
              <w:rPr>
                <w:rFonts w:ascii="Arial" w:hAnsi="Arial" w:cs="Arial"/>
                <w:sz w:val="22"/>
                <w:szCs w:val="22"/>
              </w:rPr>
              <w:t>systems</w:t>
            </w:r>
            <w:r w:rsidRPr="6A20F430" w:rsidR="00F51B4F">
              <w:rPr>
                <w:rFonts w:ascii="Arial" w:hAnsi="Arial" w:cs="Arial"/>
                <w:sz w:val="22"/>
                <w:szCs w:val="22"/>
              </w:rPr>
              <w:t xml:space="preserve">, but </w:t>
            </w:r>
            <w:r w:rsidRPr="6A20F430" w:rsidR="00CA3DA8">
              <w:rPr>
                <w:rFonts w:ascii="Arial" w:hAnsi="Arial" w:cs="Arial"/>
                <w:sz w:val="22"/>
                <w:szCs w:val="22"/>
              </w:rPr>
              <w:t xml:space="preserve">expansion into other </w:t>
            </w:r>
            <w:r w:rsidRPr="6A20F430" w:rsidR="00CA3DA8">
              <w:rPr>
                <w:rFonts w:ascii="Arial" w:hAnsi="Arial" w:cs="Arial"/>
                <w:sz w:val="22"/>
                <w:szCs w:val="22"/>
              </w:rPr>
              <w:t xml:space="preserve">areas such as land and air </w:t>
            </w:r>
            <w:r w:rsidRPr="6A20F430" w:rsidR="004F36C8">
              <w:rPr>
                <w:rFonts w:ascii="Arial" w:hAnsi="Arial" w:cs="Arial"/>
                <w:sz w:val="22"/>
                <w:szCs w:val="22"/>
              </w:rPr>
              <w:t xml:space="preserve">would be </w:t>
            </w:r>
            <w:r w:rsidRPr="6A20F430" w:rsidR="004F36C8">
              <w:rPr>
                <w:rFonts w:ascii="Arial" w:hAnsi="Arial" w:cs="Arial"/>
                <w:sz w:val="22"/>
                <w:szCs w:val="22"/>
              </w:rPr>
              <w:t>advantageous</w:t>
            </w:r>
            <w:r w:rsidRPr="6A20F430" w:rsidR="5511E7D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F365E" w:rsidP="00607DE1" w:rsidRDefault="004F365E" w14:paraId="07574395" w14:textId="0B97D3F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6A20F430" w:rsidR="004F365E">
              <w:rPr>
                <w:rFonts w:ascii="Arial" w:hAnsi="Arial" w:cs="Arial"/>
                <w:sz w:val="22"/>
                <w:szCs w:val="22"/>
              </w:rPr>
              <w:t xml:space="preserve">The successful candidate would be expected to have existing strong relationships in these areas </w:t>
            </w:r>
            <w:r w:rsidRPr="6A20F430" w:rsidR="0025703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6A20F430" w:rsidR="00257030">
              <w:rPr>
                <w:rFonts w:ascii="Arial" w:hAnsi="Arial" w:cs="Arial"/>
                <w:sz w:val="22"/>
                <w:szCs w:val="22"/>
              </w:rPr>
              <w:t>a track record</w:t>
            </w:r>
            <w:r w:rsidRPr="6A20F430" w:rsidR="00257030">
              <w:rPr>
                <w:rFonts w:ascii="Arial" w:hAnsi="Arial" w:cs="Arial"/>
                <w:sz w:val="22"/>
                <w:szCs w:val="22"/>
              </w:rPr>
              <w:t xml:space="preserve"> of capturing opportunities</w:t>
            </w:r>
            <w:r w:rsidRPr="6A20F430" w:rsidR="00F5321B">
              <w:rPr>
                <w:rFonts w:ascii="Arial" w:hAnsi="Arial" w:cs="Arial"/>
                <w:sz w:val="22"/>
                <w:szCs w:val="22"/>
              </w:rPr>
              <w:t>.</w:t>
            </w:r>
            <w:r w:rsidRPr="6A20F430" w:rsidR="004F3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251194" w:rsidR="00186EAC" w:rsidP="6A20F430" w:rsidRDefault="00607DE1" w14:paraId="6984135B" w14:textId="6A8D5576">
            <w:pPr>
              <w:spacing w:before="120"/>
              <w:ind w:right="-45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A20F430" w:rsidR="00607DE1">
              <w:rPr>
                <w:rFonts w:ascii="Arial" w:hAnsi="Arial" w:cs="Arial"/>
                <w:sz w:val="22"/>
                <w:szCs w:val="22"/>
              </w:rPr>
              <w:t>This role works a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an integral part of the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business development team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and wider business.</w:t>
            </w:r>
          </w:p>
          <w:p w:rsidRPr="00251194" w:rsidR="00186EAC" w:rsidP="6A20F430" w:rsidRDefault="00607DE1" w14:paraId="39C84D99" w14:textId="38487468">
            <w:pPr>
              <w:spacing w:before="120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52185" w:rsidR="00CA3953" w:rsidTr="6A20F430" w14:paraId="4C76C197" w14:textId="77777777">
        <w:trPr>
          <w:trHeight w:val="510"/>
        </w:trPr>
        <w:tc>
          <w:tcPr>
            <w:tcW w:w="9356" w:type="dxa"/>
            <w:tcBorders>
              <w:bottom w:val="single" w:color="auto" w:sz="4" w:space="0"/>
            </w:tcBorders>
            <w:tcMar/>
            <w:vAlign w:val="center"/>
          </w:tcPr>
          <w:p w:rsidRPr="00BC3453" w:rsidR="00336C05" w:rsidP="6A20F430" w:rsidRDefault="00336C05" w14:paraId="124B9F0E" w14:textId="4E5C1A31">
            <w:pPr>
              <w:keepLines w:val="1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6A20F430" w:rsidR="00CA395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Responsibilities</w:t>
            </w:r>
            <w:r w:rsidRPr="6A20F430" w:rsidR="00E4034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&amp; profile</w:t>
            </w:r>
            <w:r w:rsidRPr="6A20F430" w:rsidR="00CA3953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Pr="00BC3453" w:rsidR="00336C05" w:rsidP="6A20F430" w:rsidRDefault="00336C05" w14:paraId="2C488BD3" w14:textId="451CBB1A">
            <w:pPr>
              <w:keepLines w:val="1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Pr="00BC3453" w:rsidR="00336C05" w:rsidP="6A20F430" w:rsidRDefault="00336C05" w14:paraId="333AEF8E" w14:textId="44B182C6">
            <w:pPr>
              <w:keepLines w:val="1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6A20F430" w:rsidR="00336C05">
              <w:rPr>
                <w:rFonts w:ascii="Arial" w:hAnsi="Arial" w:cs="Arial"/>
                <w:sz w:val="22"/>
                <w:szCs w:val="22"/>
                <w:u w:val="single"/>
              </w:rPr>
              <w:t>Profile:</w:t>
            </w:r>
          </w:p>
          <w:p w:rsidRPr="00AD60E2" w:rsidR="003863EC" w:rsidP="00BC3453" w:rsidRDefault="003863EC" w14:paraId="7704EA9B" w14:textId="29118D14">
            <w:pPr>
              <w:keepLines w:val="1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20F430" w:rsidR="54F7FA47">
              <w:rPr>
                <w:rFonts w:ascii="Arial" w:hAnsi="Arial" w:cs="Arial"/>
                <w:sz w:val="22"/>
                <w:szCs w:val="22"/>
              </w:rPr>
              <w:t>The successful applicant w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>ill be an experienced business development executive</w:t>
            </w:r>
            <w:r w:rsidRPr="6A20F430" w:rsidR="37A8E101">
              <w:rPr>
                <w:rFonts w:ascii="Arial" w:hAnsi="Arial" w:cs="Arial"/>
                <w:sz w:val="22"/>
                <w:szCs w:val="22"/>
              </w:rPr>
              <w:t xml:space="preserve"> or capture manager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 with a successful 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>track record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 in developing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 &amp; winning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 new business with 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government agencies, 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prime </w:t>
            </w:r>
            <w:r w:rsidRPr="6A20F430" w:rsidR="7B54DD9E">
              <w:rPr>
                <w:rFonts w:ascii="Arial" w:hAnsi="Arial" w:cs="Arial"/>
                <w:sz w:val="22"/>
                <w:szCs w:val="22"/>
              </w:rPr>
              <w:t>contractors,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 and system integrators</w:t>
            </w:r>
            <w:r w:rsidRPr="6A20F430" w:rsidR="7AB6A2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A20F430" w:rsidR="2BB1FBC3">
              <w:rPr>
                <w:rFonts w:ascii="Arial" w:hAnsi="Arial" w:cs="Arial"/>
                <w:sz w:val="22"/>
                <w:szCs w:val="22"/>
              </w:rPr>
              <w:t>within the Defence environment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This role is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predominantly </w:t>
            </w:r>
            <w:r w:rsidRPr="6A20F430" w:rsidR="72495DE0">
              <w:rPr>
                <w:rFonts w:ascii="Arial" w:hAnsi="Arial" w:cs="Arial"/>
                <w:sz w:val="22"/>
                <w:szCs w:val="22"/>
              </w:rPr>
              <w:t>maritime</w:t>
            </w:r>
            <w:r w:rsidRPr="6A20F430" w:rsidR="72495D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focussed, but </w:t>
            </w:r>
            <w:r w:rsidRPr="6A20F430" w:rsidR="3508006D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>ability to work into and d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evelop relationships with European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>d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efence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>m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inistries, procurement agencies, prime </w:t>
            </w:r>
            <w:r w:rsidRPr="6A20F430" w:rsidR="7B54DD9E">
              <w:rPr>
                <w:rFonts w:ascii="Arial" w:hAnsi="Arial" w:cs="Arial"/>
                <w:sz w:val="22"/>
                <w:szCs w:val="22"/>
              </w:rPr>
              <w:t>contractors,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 xml:space="preserve"> and defence research agencies to understand existing and emerging requirements </w:t>
            </w:r>
            <w:r w:rsidRPr="6A20F430" w:rsidR="57CE83FA">
              <w:rPr>
                <w:rFonts w:ascii="Arial" w:hAnsi="Arial" w:cs="Arial"/>
                <w:sz w:val="22"/>
                <w:szCs w:val="22"/>
              </w:rPr>
              <w:t>would be an advantage</w:t>
            </w:r>
            <w:r w:rsidRPr="6A20F430" w:rsidR="72495DE0">
              <w:rPr>
                <w:rFonts w:ascii="Arial" w:hAnsi="Arial" w:cs="Arial"/>
                <w:sz w:val="22"/>
                <w:szCs w:val="22"/>
              </w:rPr>
              <w:t>, as would a knowledge and experience of other domains (land, air).</w:t>
            </w:r>
          </w:p>
          <w:p w:rsidR="00F51B4F" w:rsidP="00607DE1" w:rsidRDefault="00F51B4F" w14:paraId="12A93C37" w14:textId="77777777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54F7FA47" w:rsidP="6A20F430" w:rsidRDefault="54F7FA47" w14:paraId="35DA4F46" w14:textId="4CCED5B2">
            <w:pPr>
              <w:keepLines w:val="1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6A20F430" w:rsidR="143A539E">
              <w:rPr>
                <w:rFonts w:ascii="Arial" w:hAnsi="Arial" w:cs="Arial"/>
                <w:sz w:val="22"/>
                <w:szCs w:val="22"/>
              </w:rPr>
              <w:t xml:space="preserve">successful 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>candidate w</w:t>
            </w:r>
            <w:r w:rsidRPr="6A20F430" w:rsidR="34F3B329">
              <w:rPr>
                <w:rFonts w:ascii="Arial" w:hAnsi="Arial" w:cs="Arial"/>
                <w:sz w:val="22"/>
                <w:szCs w:val="22"/>
              </w:rPr>
              <w:t xml:space="preserve">ill have a good knowledge of </w:t>
            </w:r>
            <w:r w:rsidRPr="6A20F430" w:rsidR="24B246FB">
              <w:rPr>
                <w:rFonts w:ascii="Arial" w:hAnsi="Arial" w:cs="Arial"/>
                <w:sz w:val="22"/>
                <w:szCs w:val="22"/>
              </w:rPr>
              <w:t xml:space="preserve">defence maritime programmes, associated combat systems 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and the scientific and research programmes feeding the 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>cutting-edge</w:t>
            </w:r>
            <w:r w:rsidRPr="6A20F430" w:rsidR="54F7FA47">
              <w:rPr>
                <w:rFonts w:ascii="Arial" w:hAnsi="Arial" w:cs="Arial"/>
                <w:sz w:val="22"/>
                <w:szCs w:val="22"/>
              </w:rPr>
              <w:t xml:space="preserve"> development of these systems and technologies.</w:t>
            </w:r>
            <w:r w:rsidRPr="6A20F430" w:rsidR="72495DE0">
              <w:rPr>
                <w:rFonts w:ascii="Arial" w:hAnsi="Arial" w:cs="Arial"/>
                <w:sz w:val="22"/>
                <w:szCs w:val="22"/>
              </w:rPr>
              <w:t xml:space="preserve"> The successful applicant should be comfortable </w:t>
            </w:r>
            <w:r w:rsidRPr="6A20F430" w:rsidR="108587D5">
              <w:rPr>
                <w:rFonts w:ascii="Arial" w:hAnsi="Arial" w:cs="Arial"/>
                <w:sz w:val="22"/>
                <w:szCs w:val="22"/>
              </w:rPr>
              <w:t xml:space="preserve">operating with SEA’s customers and partners to shape and secure opportunities. </w:t>
            </w:r>
          </w:p>
          <w:p w:rsidR="00585911" w:rsidP="6A20F430" w:rsidRDefault="003863EC" w14:paraId="4FCFEB3D" w14:textId="6D91CD6C">
            <w:pPr>
              <w:pStyle w:val="Normal"/>
              <w:keepLines w:val="1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20F430" w:rsidR="003863EC">
              <w:rPr>
                <w:rFonts w:ascii="Arial" w:hAnsi="Arial" w:cs="Arial"/>
                <w:sz w:val="22"/>
                <w:szCs w:val="22"/>
              </w:rPr>
              <w:t>The successful applicant will be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a goal orientated, self-starter, able to 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initiate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and develop customer contacts, 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coordinate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and lead customer campaigns, generating business opportunities and converting them to orders.</w:t>
            </w:r>
            <w:r w:rsidRPr="6A20F430" w:rsidR="003863EC">
              <w:rPr>
                <w:rFonts w:ascii="Arial" w:hAnsi="Arial" w:cs="Arial"/>
                <w:sz w:val="22"/>
                <w:szCs w:val="22"/>
              </w:rPr>
              <w:t xml:space="preserve"> To be successful in this role, the </w:t>
            </w:r>
            <w:r w:rsidRPr="6A20F430" w:rsidR="002E53D9">
              <w:rPr>
                <w:rFonts w:ascii="Arial" w:hAnsi="Arial" w:cs="Arial"/>
                <w:sz w:val="22"/>
                <w:szCs w:val="22"/>
              </w:rPr>
              <w:t>applicant will need to “sell” these opportunities, as part of the SEA Business Winning Framework, into the business to achieve buy-in</w:t>
            </w:r>
            <w:r w:rsidRPr="6A20F430" w:rsidR="004F36C8">
              <w:rPr>
                <w:rFonts w:ascii="Arial" w:hAnsi="Arial" w:cs="Arial"/>
                <w:sz w:val="22"/>
                <w:szCs w:val="22"/>
              </w:rPr>
              <w:t>, resources</w:t>
            </w:r>
            <w:r w:rsidRPr="6A20F430" w:rsidR="002E53D9">
              <w:rPr>
                <w:rFonts w:ascii="Arial" w:hAnsi="Arial" w:cs="Arial"/>
                <w:sz w:val="22"/>
                <w:szCs w:val="22"/>
              </w:rPr>
              <w:t xml:space="preserve"> and support to </w:t>
            </w:r>
            <w:r w:rsidRPr="6A20F430" w:rsidR="00FF40C1">
              <w:rPr>
                <w:rFonts w:ascii="Arial" w:hAnsi="Arial" w:cs="Arial"/>
                <w:sz w:val="22"/>
                <w:szCs w:val="22"/>
              </w:rPr>
              <w:t>secure</w:t>
            </w:r>
            <w:r w:rsidRPr="6A20F430" w:rsidR="002E53D9">
              <w:rPr>
                <w:rFonts w:ascii="Arial" w:hAnsi="Arial" w:cs="Arial"/>
                <w:sz w:val="22"/>
                <w:szCs w:val="22"/>
              </w:rPr>
              <w:t xml:space="preserve"> a successful sale.</w:t>
            </w:r>
          </w:p>
          <w:p w:rsidR="002E53D9" w:rsidP="6A20F430" w:rsidRDefault="002E53D9" w14:paraId="70E2165E" w14:textId="6F2E56C7">
            <w:pPr>
              <w:pStyle w:val="Normal"/>
              <w:keepLines w:val="1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6A20F430" w:rsidR="002E53D9">
              <w:rPr>
                <w:rFonts w:ascii="Arial" w:hAnsi="Arial" w:cs="Arial"/>
                <w:sz w:val="22"/>
                <w:szCs w:val="22"/>
              </w:rPr>
              <w:t>The i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ndividual must be tenacious, confident</w:t>
            </w:r>
            <w:r w:rsidRPr="6A20F430" w:rsidR="003863EC">
              <w:rPr>
                <w:rFonts w:ascii="Arial" w:hAnsi="Arial" w:cs="Arial"/>
                <w:sz w:val="22"/>
                <w:szCs w:val="22"/>
              </w:rPr>
              <w:t>,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A20F430" w:rsidR="003863EC">
              <w:rPr>
                <w:rFonts w:ascii="Arial" w:hAnsi="Arial" w:cs="Arial"/>
                <w:sz w:val="22"/>
                <w:szCs w:val="22"/>
              </w:rPr>
              <w:t>articulate and persuasive, with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good communications skills, both written and oral.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6A20F430" w:rsidP="6A20F430" w:rsidRDefault="6A20F430" w14:paraId="2343D0EB" w14:textId="7ACAE83D">
            <w:pPr>
              <w:keepLines w:val="1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BC3453" w:rsidR="00336C05" w:rsidP="00607DE1" w:rsidRDefault="00336C05" w14:paraId="1F708CA4" w14:textId="77777777">
            <w:pPr>
              <w:keepLine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3453">
              <w:rPr>
                <w:rFonts w:ascii="Arial" w:hAnsi="Arial" w:cs="Arial"/>
                <w:sz w:val="22"/>
                <w:szCs w:val="22"/>
                <w:u w:val="single"/>
              </w:rPr>
              <w:t>Responsibilities:</w:t>
            </w:r>
          </w:p>
          <w:p w:rsidRPr="00EC2540" w:rsidR="00607DE1" w:rsidP="6A20F430" w:rsidRDefault="00607DE1" w14:paraId="3BD02800" w14:textId="00E74E2D">
            <w:pPr>
              <w:pStyle w:val="Normal"/>
              <w:keepLines w:val="1"/>
              <w:suppressLineNumbers w:val="0"/>
              <w:bidi w:val="0"/>
              <w:spacing w:before="120" w:beforeAutospacing="off" w:after="0" w:afterAutospacing="off" w:line="259" w:lineRule="auto"/>
              <w:ind w:left="0" w:righ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Through strong and effective account management behaviours, </w:t>
            </w:r>
            <w:r w:rsidRPr="6A20F430" w:rsidR="548FCC53">
              <w:rPr>
                <w:rFonts w:ascii="Arial" w:hAnsi="Arial" w:cs="Arial"/>
                <w:sz w:val="22"/>
                <w:szCs w:val="22"/>
              </w:rPr>
              <w:t>secure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opportunities for equipment upgrades, 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updates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and enhancements on existing platforms.</w:t>
            </w:r>
          </w:p>
          <w:p w:rsidRPr="00EC2540" w:rsidR="00607DE1" w:rsidP="00607DE1" w:rsidRDefault="00607DE1" w14:paraId="3B9B5939" w14:textId="77777777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2540">
              <w:rPr>
                <w:rFonts w:ascii="Arial" w:hAnsi="Arial" w:cs="Arial"/>
                <w:sz w:val="22"/>
                <w:szCs w:val="22"/>
              </w:rPr>
              <w:t>To lead and coordinate opportunity capture and bidding activities, drawing upon company process and internal technical and commercial resources.</w:t>
            </w:r>
          </w:p>
          <w:p w:rsidRPr="00EC2540" w:rsidR="00607DE1" w:rsidP="00607DE1" w:rsidRDefault="00607DE1" w14:paraId="51BAB5A6" w14:textId="77777777">
            <w:pPr>
              <w:keepLine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2540">
              <w:rPr>
                <w:rFonts w:ascii="Arial" w:hAnsi="Arial" w:cs="Arial"/>
                <w:sz w:val="22"/>
                <w:szCs w:val="22"/>
              </w:rPr>
              <w:t xml:space="preserve">To integrate with the Business Development </w:t>
            </w:r>
            <w:r w:rsidR="00336C05">
              <w:rPr>
                <w:rFonts w:ascii="Arial" w:hAnsi="Arial" w:cs="Arial"/>
                <w:sz w:val="22"/>
                <w:szCs w:val="22"/>
              </w:rPr>
              <w:t>T</w:t>
            </w:r>
            <w:r w:rsidRPr="00EC2540">
              <w:rPr>
                <w:rFonts w:ascii="Arial" w:hAnsi="Arial" w:cs="Arial"/>
                <w:sz w:val="22"/>
                <w:szCs w:val="22"/>
              </w:rPr>
              <w:t xml:space="preserve">eam and liaise with internal teams across </w:t>
            </w:r>
            <w:r w:rsidR="00E40349">
              <w:rPr>
                <w:rFonts w:ascii="Arial" w:hAnsi="Arial" w:cs="Arial"/>
                <w:sz w:val="22"/>
                <w:szCs w:val="22"/>
              </w:rPr>
              <w:t>SEA, and partner and customer organisations</w:t>
            </w:r>
            <w:r w:rsidRPr="00EC2540">
              <w:rPr>
                <w:rFonts w:ascii="Arial" w:hAnsi="Arial" w:cs="Arial"/>
                <w:sz w:val="22"/>
                <w:szCs w:val="22"/>
              </w:rPr>
              <w:t xml:space="preserve"> to achieve business plan objectives.</w:t>
            </w:r>
          </w:p>
          <w:p w:rsidRPr="00EC2540" w:rsidR="00607DE1" w:rsidP="00607DE1" w:rsidRDefault="00607DE1" w14:paraId="02D78843" w14:textId="78BCE91F">
            <w:pPr>
              <w:keepLines w:val="1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To provide 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timely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pipeline updates and inputs into the IBP Order-Reviews forecast and provide 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>regular communication and briefing on developing opportunities</w:t>
            </w:r>
            <w:r w:rsidRPr="6A20F430" w:rsidR="00607DE1">
              <w:rPr>
                <w:rFonts w:ascii="Arial" w:hAnsi="Arial" w:cs="Arial"/>
                <w:sz w:val="22"/>
                <w:szCs w:val="22"/>
              </w:rPr>
              <w:t xml:space="preserve"> to the business.</w:t>
            </w:r>
          </w:p>
          <w:p w:rsidR="00607DE1" w:rsidP="00607DE1" w:rsidRDefault="00607DE1" w14:paraId="2193157C" w14:textId="77777777">
            <w:pPr>
              <w:keepLine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2540">
              <w:rPr>
                <w:rFonts w:ascii="Arial" w:hAnsi="Arial" w:cs="Arial"/>
                <w:sz w:val="22"/>
                <w:szCs w:val="22"/>
              </w:rPr>
              <w:t>To represent SEA at trade shows and industry events in the UK and overseas.</w:t>
            </w:r>
          </w:p>
          <w:p w:rsidRPr="00EC2540" w:rsidR="00E40349" w:rsidP="00E40349" w:rsidRDefault="00E40349" w14:paraId="22ABF0CC" w14:textId="32DD4975">
            <w:pPr>
              <w:keepLines w:val="1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20F430" w:rsidR="074A019C">
              <w:rPr>
                <w:rFonts w:ascii="Arial" w:hAnsi="Arial" w:cs="Arial"/>
                <w:sz w:val="22"/>
                <w:szCs w:val="22"/>
              </w:rPr>
              <w:t xml:space="preserve">To ensure governance and reporting processes are managed and reported through the company </w:t>
            </w:r>
            <w:r w:rsidRPr="6A20F430" w:rsidR="0A89EF0B">
              <w:rPr>
                <w:rFonts w:ascii="Arial" w:hAnsi="Arial" w:cs="Arial"/>
                <w:sz w:val="22"/>
                <w:szCs w:val="22"/>
              </w:rPr>
              <w:t>s</w:t>
            </w:r>
            <w:r w:rsidRPr="6A20F430" w:rsidR="074A019C">
              <w:rPr>
                <w:rFonts w:ascii="Arial" w:hAnsi="Arial" w:cs="Arial"/>
                <w:sz w:val="22"/>
                <w:szCs w:val="22"/>
              </w:rPr>
              <w:t>ystem</w:t>
            </w:r>
            <w:r w:rsidRPr="6A20F430" w:rsidR="55BA55D4">
              <w:rPr>
                <w:rFonts w:ascii="Arial" w:hAnsi="Arial" w:cs="Arial"/>
                <w:sz w:val="22"/>
                <w:szCs w:val="22"/>
              </w:rPr>
              <w:t>s</w:t>
            </w:r>
          </w:p>
          <w:p w:rsidRPr="00EC2540" w:rsidR="00E40349" w:rsidP="00E40349" w:rsidRDefault="00E40349" w14:paraId="394175D0" w14:textId="77777777">
            <w:pPr>
              <w:keepLine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C2540">
              <w:rPr>
                <w:rFonts w:ascii="Arial" w:hAnsi="Arial" w:cs="Arial"/>
                <w:sz w:val="22"/>
                <w:szCs w:val="22"/>
              </w:rPr>
              <w:t xml:space="preserve">Understand and implement the company environmental, health &amp; safety policy by accepting individual responsibility and responsibility for those personnel under their authority, including others who may be affected by the company’s activities. </w:t>
            </w:r>
          </w:p>
          <w:p w:rsidRPr="00EC2540" w:rsidR="00FF40C1" w:rsidP="00E40349" w:rsidRDefault="00FF40C1" w14:paraId="11C6DB53" w14:textId="718BAB85">
            <w:pPr>
              <w:keepLines w:val="1"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6A20F430" w:rsidR="00E40349">
              <w:rPr>
                <w:rFonts w:ascii="Arial" w:hAnsi="Arial" w:cs="Arial"/>
                <w:sz w:val="22"/>
                <w:szCs w:val="22"/>
              </w:rPr>
              <w:t>Ensure personnel are aware of their responsibility towards H&amp;S and are equipped accordingly.</w:t>
            </w:r>
          </w:p>
          <w:p w:rsidR="6A20F430" w:rsidP="6A20F430" w:rsidRDefault="6A20F430" w14:paraId="6BD6A170" w14:textId="3591316E">
            <w:pPr>
              <w:keepLines w:val="1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A3953" w:rsidP="00E40349" w:rsidRDefault="00E40349" w14:paraId="14D8A82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C2540">
              <w:rPr>
                <w:rFonts w:ascii="Arial" w:hAnsi="Arial" w:cs="Arial"/>
                <w:sz w:val="22"/>
                <w:szCs w:val="22"/>
              </w:rPr>
              <w:t>Always set a strong personal example regarding all health and safety matters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C3453" w:rsidR="00E40349" w:rsidP="00BC3453" w:rsidRDefault="00E40349" w14:paraId="56B72E4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9299C" w:rsidR="00607DE1" w:rsidTr="6A20F430" w14:paraId="4E6622DD" w14:textId="77777777">
        <w:trPr>
          <w:trHeight w:val="510"/>
        </w:trPr>
        <w:tc>
          <w:tcPr>
            <w:tcW w:w="9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3453" w:rsidR="00607DE1" w:rsidP="00607DE1" w:rsidRDefault="00607DE1" w14:paraId="02EDA45D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3453">
              <w:rPr>
                <w:rFonts w:ascii="Arial" w:hAnsi="Arial" w:cs="Arial"/>
                <w:b/>
                <w:sz w:val="22"/>
                <w:szCs w:val="22"/>
              </w:rPr>
              <w:lastRenderedPageBreak/>
              <w:t>Values:</w:t>
            </w:r>
          </w:p>
          <w:p w:rsidRPr="00BC3453" w:rsidR="00607DE1" w:rsidP="00607DE1" w:rsidRDefault="00607DE1" w14:paraId="71C7237A" w14:textId="77777777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C3453">
              <w:rPr>
                <w:rFonts w:ascii="Arial" w:hAnsi="Arial" w:cs="Arial"/>
                <w:b/>
                <w:sz w:val="22"/>
                <w:szCs w:val="22"/>
              </w:rPr>
              <w:t xml:space="preserve">Safety First – </w:t>
            </w:r>
            <w:r w:rsidRPr="00BC3453">
              <w:rPr>
                <w:rFonts w:ascii="Arial" w:hAnsi="Arial" w:cs="Arial"/>
                <w:bCs/>
                <w:sz w:val="22"/>
                <w:szCs w:val="22"/>
              </w:rPr>
              <w:t>We operate safely and responsibly, protecting each other and the environment.</w:t>
            </w:r>
          </w:p>
          <w:p w:rsidRPr="00BC3453" w:rsidR="00607DE1" w:rsidP="00607DE1" w:rsidRDefault="00607DE1" w14:paraId="7FA8F927" w14:textId="77777777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C3453">
              <w:rPr>
                <w:rFonts w:ascii="Arial" w:hAnsi="Arial" w:cs="Arial"/>
                <w:b/>
                <w:sz w:val="22"/>
                <w:szCs w:val="22"/>
              </w:rPr>
              <w:t xml:space="preserve">One SEA Team – </w:t>
            </w:r>
            <w:r w:rsidRPr="00BC3453">
              <w:rPr>
                <w:rFonts w:ascii="Arial" w:hAnsi="Arial" w:cs="Arial"/>
                <w:bCs/>
                <w:sz w:val="22"/>
                <w:szCs w:val="22"/>
              </w:rPr>
              <w:t xml:space="preserve">We are in this together.  One team, working ethically, respectfully &amp; professionally.  We take responsibility and challenge each other </w:t>
            </w:r>
            <w:r w:rsidRPr="00BC3453" w:rsidR="00F5321B">
              <w:rPr>
                <w:rFonts w:ascii="Arial" w:hAnsi="Arial" w:cs="Arial"/>
                <w:bCs/>
                <w:sz w:val="22"/>
                <w:szCs w:val="22"/>
              </w:rPr>
              <w:t>constructively.</w:t>
            </w:r>
          </w:p>
          <w:p w:rsidRPr="00BC3453" w:rsidR="00607DE1" w:rsidP="00607DE1" w:rsidRDefault="00607DE1" w14:paraId="106B4B6D" w14:textId="77777777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C3453">
              <w:rPr>
                <w:rFonts w:ascii="Arial" w:hAnsi="Arial" w:cs="Arial"/>
                <w:b/>
                <w:sz w:val="22"/>
                <w:szCs w:val="22"/>
              </w:rPr>
              <w:t xml:space="preserve">People Focussed – </w:t>
            </w:r>
            <w:r w:rsidRPr="00BC3453">
              <w:rPr>
                <w:rFonts w:ascii="Arial" w:hAnsi="Arial" w:cs="Arial"/>
                <w:bCs/>
                <w:sz w:val="22"/>
                <w:szCs w:val="22"/>
              </w:rPr>
              <w:t xml:space="preserve">We all contribute to making our culture one that is supportive and empowering; where everyone can grow and develop, feel valued and rewarded.  We prioritise a healthy work-life </w:t>
            </w:r>
            <w:r w:rsidRPr="00BC3453" w:rsidR="00F5321B">
              <w:rPr>
                <w:rFonts w:ascii="Arial" w:hAnsi="Arial" w:cs="Arial"/>
                <w:bCs/>
                <w:sz w:val="22"/>
                <w:szCs w:val="22"/>
              </w:rPr>
              <w:t>balance.</w:t>
            </w:r>
          </w:p>
          <w:p w:rsidRPr="00BC3453" w:rsidR="00607DE1" w:rsidP="00607DE1" w:rsidRDefault="00607DE1" w14:paraId="7F394A9E" w14:textId="77777777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C3453">
              <w:rPr>
                <w:rFonts w:ascii="Arial" w:hAnsi="Arial" w:cs="Arial"/>
                <w:b/>
                <w:sz w:val="22"/>
                <w:szCs w:val="22"/>
              </w:rPr>
              <w:t xml:space="preserve">Delivery Excellence – </w:t>
            </w:r>
            <w:r w:rsidRPr="00BC3453">
              <w:rPr>
                <w:rFonts w:ascii="Arial" w:hAnsi="Arial" w:cs="Arial"/>
                <w:bCs/>
                <w:sz w:val="22"/>
                <w:szCs w:val="22"/>
              </w:rPr>
              <w:t xml:space="preserve">We exceed our commitments by delivering timely, quality outputs whether that’s for each other or our clients and partners.  We are always looking for ways to innovate and continuously </w:t>
            </w:r>
            <w:r w:rsidRPr="00BC3453" w:rsidR="00F5321B">
              <w:rPr>
                <w:rFonts w:ascii="Arial" w:hAnsi="Arial" w:cs="Arial"/>
                <w:bCs/>
                <w:sz w:val="22"/>
                <w:szCs w:val="22"/>
              </w:rPr>
              <w:t>improve.</w:t>
            </w:r>
          </w:p>
          <w:p w:rsidRPr="00BC3453" w:rsidR="00607DE1" w:rsidP="00607DE1" w:rsidRDefault="00607DE1" w14:paraId="53F08E2D" w14:textId="77777777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C3453">
              <w:rPr>
                <w:rFonts w:ascii="Arial" w:hAnsi="Arial" w:cs="Arial"/>
                <w:b/>
                <w:sz w:val="22"/>
                <w:szCs w:val="22"/>
              </w:rPr>
              <w:t xml:space="preserve">Trusted Partners - </w:t>
            </w:r>
            <w:r w:rsidRPr="00BC3453">
              <w:rPr>
                <w:rFonts w:ascii="Arial" w:hAnsi="Arial" w:cs="Arial"/>
                <w:bCs/>
                <w:sz w:val="22"/>
                <w:szCs w:val="22"/>
              </w:rPr>
              <w:t xml:space="preserve">We partner strategically, </w:t>
            </w:r>
            <w:r w:rsidRPr="00BC3453" w:rsidR="00F5321B">
              <w:rPr>
                <w:rFonts w:ascii="Arial" w:hAnsi="Arial" w:cs="Arial"/>
                <w:bCs/>
                <w:sz w:val="22"/>
                <w:szCs w:val="22"/>
              </w:rPr>
              <w:t>collaboratively,</w:t>
            </w:r>
            <w:r w:rsidRPr="00BC3453">
              <w:rPr>
                <w:rFonts w:ascii="Arial" w:hAnsi="Arial" w:cs="Arial"/>
                <w:bCs/>
                <w:sz w:val="22"/>
                <w:szCs w:val="22"/>
              </w:rPr>
              <w:t xml:space="preserve"> and always with integrity, whether that is between us inside SEA or externally</w:t>
            </w:r>
            <w:r w:rsidR="00E4034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Pr="00BC3453" w:rsidR="00E40349" w:rsidP="6A20F430" w:rsidRDefault="00E40349" w14:paraId="4E8B3B13" w14:textId="77777777">
            <w:pPr>
              <w:ind w:left="360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</w:tr>
      <w:tr w:rsidRPr="0039299C" w:rsidR="00607DE1" w:rsidTr="6A20F430" w14:paraId="119B075B" w14:textId="77777777">
        <w:trPr>
          <w:trHeight w:val="510"/>
        </w:trPr>
        <w:tc>
          <w:tcPr>
            <w:tcW w:w="9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3453" w:rsidR="00607DE1" w:rsidP="00BC3453" w:rsidRDefault="00607DE1" w14:paraId="3F5465C1" w14:textId="77777777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BC3453">
              <w:rPr>
                <w:rFonts w:ascii="Arial" w:hAnsi="Arial" w:cs="Arial"/>
                <w:bCs/>
                <w:szCs w:val="22"/>
              </w:rPr>
              <w:t>Training: (if applicable)</w:t>
            </w:r>
          </w:p>
          <w:p w:rsidRPr="00BC3453" w:rsidR="00607DE1" w:rsidP="00607DE1" w:rsidRDefault="00607DE1" w14:paraId="23D085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39299C" w:rsidR="00607DE1" w:rsidTr="6A20F430" w14:paraId="7FA5B5D6" w14:textId="77777777">
        <w:trPr>
          <w:trHeight w:val="510"/>
        </w:trPr>
        <w:tc>
          <w:tcPr>
            <w:tcW w:w="9356" w:type="dxa"/>
            <w:tcMar/>
            <w:vAlign w:val="center"/>
          </w:tcPr>
          <w:p w:rsidRPr="00BC3453" w:rsidR="00607DE1" w:rsidP="00607DE1" w:rsidRDefault="00607DE1" w14:paraId="0375EB5B" w14:textId="77777777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BC3453">
              <w:rPr>
                <w:rFonts w:ascii="Arial" w:hAnsi="Arial" w:cs="Arial"/>
                <w:bCs/>
                <w:szCs w:val="22"/>
              </w:rPr>
              <w:t>Reporting Line</w:t>
            </w:r>
          </w:p>
          <w:p w:rsidRPr="00BC3453" w:rsidR="00607DE1" w:rsidP="00BC3453" w:rsidRDefault="00607DE1" w14:paraId="5DD2A58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BC3453">
              <w:rPr>
                <w:rFonts w:ascii="Arial" w:hAnsi="Arial" w:cs="Arial"/>
                <w:sz w:val="22"/>
                <w:szCs w:val="22"/>
              </w:rPr>
              <w:t xml:space="preserve">The jobholder will report to </w:t>
            </w:r>
            <w:r w:rsidRPr="00850A43">
              <w:rPr>
                <w:rFonts w:ascii="Arial" w:hAnsi="Arial" w:cs="Arial"/>
                <w:sz w:val="22"/>
                <w:szCs w:val="22"/>
              </w:rPr>
              <w:t xml:space="preserve">the Business Development Director for </w:t>
            </w:r>
            <w:r w:rsidR="00FF40C1">
              <w:rPr>
                <w:rFonts w:ascii="Arial" w:hAnsi="Arial" w:cs="Arial"/>
                <w:sz w:val="22"/>
                <w:szCs w:val="22"/>
              </w:rPr>
              <w:t>SEA</w:t>
            </w:r>
            <w:r w:rsidRPr="00850A43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BC3453" w:rsidR="00607DE1" w:rsidP="00607DE1" w:rsidRDefault="00607DE1" w14:paraId="7523F61D" w14:textId="77777777">
            <w:pPr>
              <w:rPr>
                <w:sz w:val="22"/>
                <w:szCs w:val="22"/>
              </w:rPr>
            </w:pPr>
          </w:p>
        </w:tc>
      </w:tr>
      <w:tr w:rsidRPr="0039299C" w:rsidR="00CA3953" w:rsidTr="6A20F430" w14:paraId="134D2BAB" w14:textId="77777777">
        <w:trPr>
          <w:trHeight w:val="510"/>
        </w:trPr>
        <w:tc>
          <w:tcPr>
            <w:tcW w:w="9356" w:type="dxa"/>
            <w:tcBorders>
              <w:top w:val="single" w:color="auto" w:sz="4" w:space="0"/>
            </w:tcBorders>
            <w:tcMar/>
            <w:vAlign w:val="center"/>
          </w:tcPr>
          <w:p w:rsidRPr="0039299C" w:rsidR="00CA3953" w:rsidP="00251194" w:rsidRDefault="00CA3953" w14:paraId="133DC3F6" w14:textId="77777777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:rsidRPr="0039299C" w:rsidR="00EE261F" w:rsidP="6A20F430" w:rsidRDefault="00EE261F" w14:paraId="0BA9FCA0" w14:textId="5B7ADA40">
            <w:pPr>
              <w:pStyle w:val="SEADetails"/>
              <w:tabs>
                <w:tab w:val="clear" w:leader="none" w:pos="1361"/>
              </w:tabs>
              <w:spacing w:before="60"/>
              <w:jc w:val="left"/>
            </w:pPr>
            <w:r w:rsidRPr="6A20F430" w:rsidR="00CA3953">
              <w:rPr>
                <w:rFonts w:ascii="Arial" w:hAnsi="Arial" w:cs="Arial"/>
                <w:b w:val="0"/>
                <w:bCs w:val="0"/>
              </w:rPr>
              <w:t>Th</w:t>
            </w:r>
            <w:r w:rsidRPr="6A20F430" w:rsidR="00CF14C4">
              <w:rPr>
                <w:rFonts w:ascii="Arial" w:hAnsi="Arial" w:cs="Arial"/>
                <w:b w:val="0"/>
                <w:bCs w:val="0"/>
              </w:rPr>
              <w:t>is role is hybrid working, with a mix o</w:t>
            </w:r>
            <w:r w:rsidRPr="6A20F430" w:rsidR="0058031A">
              <w:rPr>
                <w:rFonts w:ascii="Arial" w:hAnsi="Arial" w:cs="Arial"/>
                <w:b w:val="0"/>
                <w:bCs w:val="0"/>
              </w:rPr>
              <w:t>f</w:t>
            </w:r>
            <w:r w:rsidRPr="6A20F430" w:rsidR="00CF14C4">
              <w:rPr>
                <w:rFonts w:ascii="Arial" w:hAnsi="Arial" w:cs="Arial"/>
                <w:b w:val="0"/>
                <w:bCs w:val="0"/>
              </w:rPr>
              <w:t xml:space="preserve"> in-office (~2-days per week), remote and customer-site locations. The role-holder must be prepared to work at any one of the SEA sites as-needed, but </w:t>
            </w:r>
            <w:r w:rsidRPr="6A20F430" w:rsidR="00607DE1">
              <w:rPr>
                <w:rFonts w:ascii="Arial" w:hAnsi="Arial" w:cs="Arial"/>
                <w:b w:val="0"/>
                <w:bCs w:val="0"/>
              </w:rPr>
              <w:t xml:space="preserve">their </w:t>
            </w:r>
            <w:r w:rsidRPr="6A20F430" w:rsidR="00CF14C4">
              <w:rPr>
                <w:rFonts w:ascii="Arial" w:hAnsi="Arial" w:cs="Arial"/>
                <w:b w:val="0"/>
                <w:bCs w:val="0"/>
              </w:rPr>
              <w:t xml:space="preserve">home site can be </w:t>
            </w:r>
            <w:r w:rsidRPr="6A20F430" w:rsidR="0058031A">
              <w:rPr>
                <w:rFonts w:ascii="Arial" w:hAnsi="Arial" w:cs="Arial"/>
                <w:b w:val="0"/>
                <w:bCs w:val="0"/>
              </w:rPr>
              <w:t xml:space="preserve">either </w:t>
            </w:r>
            <w:r w:rsidRPr="6A20F430" w:rsidR="00607DE1">
              <w:rPr>
                <w:rFonts w:ascii="Arial" w:hAnsi="Arial" w:cs="Arial"/>
                <w:b w:val="0"/>
                <w:bCs w:val="0"/>
              </w:rPr>
              <w:t>Barnsta</w:t>
            </w:r>
            <w:r w:rsidRPr="6A20F430" w:rsidR="39770F7A">
              <w:rPr>
                <w:rFonts w:ascii="Arial" w:hAnsi="Arial" w:cs="Arial"/>
                <w:b w:val="0"/>
                <w:bCs w:val="0"/>
              </w:rPr>
              <w:t>p</w:t>
            </w:r>
            <w:r w:rsidRPr="6A20F430" w:rsidR="00607DE1">
              <w:rPr>
                <w:rFonts w:ascii="Arial" w:hAnsi="Arial" w:cs="Arial"/>
                <w:b w:val="0"/>
                <w:bCs w:val="0"/>
              </w:rPr>
              <w:t>le</w:t>
            </w:r>
            <w:r w:rsidRPr="6A20F430" w:rsidR="00CF14C4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Pr="6A20F430" w:rsidR="00CF14C4">
              <w:rPr>
                <w:rFonts w:ascii="Arial" w:hAnsi="Arial" w:cs="Arial"/>
                <w:b w:val="0"/>
                <w:bCs w:val="0"/>
              </w:rPr>
              <w:t>Beckington</w:t>
            </w:r>
            <w:r w:rsidRPr="6A20F430" w:rsidR="00CF14C4">
              <w:rPr>
                <w:rFonts w:ascii="Arial" w:hAnsi="Arial" w:cs="Arial"/>
                <w:b w:val="0"/>
                <w:bCs w:val="0"/>
              </w:rPr>
              <w:t xml:space="preserve"> or Bristol.</w:t>
            </w:r>
          </w:p>
        </w:tc>
      </w:tr>
      <w:tr w:rsidRPr="0039299C" w:rsidR="00922755" w:rsidTr="6A20F430" w14:paraId="1886C3FB" w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9299C" w:rsidR="00922755" w:rsidP="0089671D" w:rsidRDefault="00922755" w14:paraId="1290F2AD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Job Holder Declaration:</w:t>
            </w:r>
          </w:p>
          <w:p w:rsidRPr="0039299C" w:rsidR="00922755" w:rsidP="0089671D" w:rsidRDefault="00922755" w14:paraId="5DBA8920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</w:t>
            </w:r>
            <w:r w:rsidRPr="0039299C" w:rsidR="000C4F1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:rsidRPr="0039299C" w:rsidR="00922755" w:rsidP="0089671D" w:rsidRDefault="00922755" w14:paraId="582B65E4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39299C" w:rsidR="00922755" w:rsidP="00BC3453" w:rsidRDefault="000C4F1A" w14:paraId="13F0D0CB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</w:tc>
      </w:tr>
      <w:tr w:rsidRPr="0039299C" w:rsidR="00922755" w:rsidTr="6A20F430" w14:paraId="62853FC8" w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39299C" w:rsidR="00922755" w:rsidP="0089671D" w:rsidRDefault="00922755" w14:paraId="05192B8F" w14:textId="77777777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:rsidRPr="0039299C" w:rsidR="000C4F1A" w:rsidP="0089671D" w:rsidRDefault="000C4F1A" w14:paraId="31A8C958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:rsidR="000C4F1A" w:rsidP="000C4F1A" w:rsidRDefault="000C4F1A" w14:paraId="3340F7E1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39299C" w:rsidR="00E40349" w:rsidP="000C4F1A" w:rsidRDefault="00E40349" w14:paraId="5E725471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39299C" w:rsidR="000C4F1A" w:rsidP="000C4F1A" w:rsidRDefault="000C4F1A" w14:paraId="631E6DDB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:rsidRPr="0039299C" w:rsidR="000C4F1A" w:rsidP="0089671D" w:rsidRDefault="000C4F1A" w14:paraId="21695F99" w14:textId="77777777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Pr="00186EAC" w:rsidR="00306886" w:rsidP="00921C41" w:rsidRDefault="00306886" w14:paraId="2CECB546" w14:textId="77777777">
      <w:pPr>
        <w:rPr>
          <w:rFonts w:ascii="Arial" w:hAnsi="Arial" w:cs="Arial"/>
          <w:sz w:val="22"/>
          <w:szCs w:val="22"/>
        </w:rPr>
      </w:pPr>
    </w:p>
    <w:sectPr w:rsidRPr="00186EAC" w:rsidR="00306886" w:rsidSect="00B67287">
      <w:headerReference w:type="default" r:id="rId11"/>
      <w:footerReference w:type="default" r:id="rId12"/>
      <w:pgSz w:w="11907" w:h="16834" w:orient="portrait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455E" w:rsidP="00DA6B51" w:rsidRDefault="000C455E" w14:paraId="5E6B1B13" w14:textId="77777777">
      <w:r>
        <w:separator/>
      </w:r>
    </w:p>
  </w:endnote>
  <w:endnote w:type="continuationSeparator" w:id="0">
    <w:p w:rsidR="000C455E" w:rsidP="00DA6B51" w:rsidRDefault="000C455E" w14:paraId="1FBD374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A6B51" w:rsidP="6A20F430" w:rsidRDefault="003E0C1C" w14:paraId="174D3D3B" w14:textId="6BB858C3">
    <w:pPr>
      <w:pStyle w:val="Footer"/>
      <w:rPr>
        <w:sz w:val="18"/>
        <w:szCs w:val="18"/>
        <w:lang w:val="en-US"/>
      </w:rPr>
    </w:pPr>
    <w:r w:rsidRPr="6A20F430" w:rsidR="6A20F430">
      <w:rPr>
        <w:sz w:val="18"/>
        <w:szCs w:val="18"/>
      </w:rPr>
      <w:t xml:space="preserve">F0076 issue </w:t>
    </w:r>
    <w:r w:rsidRPr="6A20F430" w:rsidR="6A20F430">
      <w:rPr>
        <w:sz w:val="18"/>
        <w:szCs w:val="18"/>
      </w:rPr>
      <w:t>5</w:t>
    </w:r>
    <w:r>
      <w:tab/>
    </w:r>
    <w:r w:rsidRPr="6A20F430" w:rsidR="6A20F430">
      <w:rPr>
        <w:sz w:val="18"/>
        <w:szCs w:val="18"/>
        <w:lang w:val="en-US"/>
      </w:rPr>
      <w:t xml:space="preserve">Page </w:t>
    </w:r>
    <w:r w:rsidRPr="6A20F430">
      <w:rPr>
        <w:noProof/>
        <w:sz w:val="18"/>
        <w:szCs w:val="18"/>
        <w:lang w:val="en-US"/>
      </w:rPr>
      <w:fldChar w:fldCharType="begin"/>
    </w:r>
    <w:r w:rsidRPr="6A20F430">
      <w:rPr>
        <w:sz w:val="18"/>
        <w:szCs w:val="18"/>
        <w:lang w:val="en-US"/>
      </w:rPr>
      <w:instrText xml:space="preserve"> PAGE </w:instrText>
    </w:r>
    <w:r w:rsidRPr="6A20F430">
      <w:rPr>
        <w:sz w:val="18"/>
        <w:szCs w:val="18"/>
        <w:lang w:val="en-US"/>
      </w:rPr>
      <w:fldChar w:fldCharType="separate"/>
    </w:r>
    <w:r w:rsidRPr="6A20F430" w:rsidR="6A20F430">
      <w:rPr>
        <w:noProof/>
        <w:sz w:val="18"/>
        <w:szCs w:val="18"/>
        <w:lang w:val="en-US"/>
      </w:rPr>
      <w:t>2</w:t>
    </w:r>
    <w:r w:rsidRPr="6A20F430">
      <w:rPr>
        <w:noProof/>
        <w:sz w:val="18"/>
        <w:szCs w:val="18"/>
        <w:lang w:val="en-US"/>
      </w:rPr>
      <w:fldChar w:fldCharType="end"/>
    </w:r>
    <w:r w:rsidRPr="6A20F430" w:rsidR="6A20F430">
      <w:rPr>
        <w:sz w:val="18"/>
        <w:szCs w:val="18"/>
        <w:lang w:val="en-US"/>
      </w:rPr>
      <w:t xml:space="preserve"> </w:t>
    </w:r>
    <w:r w:rsidRPr="6A20F430" w:rsidR="6A20F430">
      <w:rPr>
        <w:sz w:val="18"/>
        <w:szCs w:val="18"/>
        <w:lang w:val="en-US"/>
      </w:rPr>
      <w:t xml:space="preserve"> </w:t>
    </w:r>
  </w:p>
  <w:p w:rsidR="00DA6B51" w:rsidRDefault="0032237B" w14:paraId="0932AD3F" w14:textId="77777777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455E" w:rsidP="00DA6B51" w:rsidRDefault="000C455E" w14:paraId="779B92EA" w14:textId="77777777">
      <w:r>
        <w:separator/>
      </w:r>
    </w:p>
  </w:footnote>
  <w:footnote w:type="continuationSeparator" w:id="0">
    <w:p w:rsidR="000C455E" w:rsidP="00DA6B51" w:rsidRDefault="000C455E" w14:paraId="4E180E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DA6B51" w:rsidRDefault="00186EAC" w14:paraId="0BE3FE11" w14:textId="77777777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:rsidR="00DA6B51" w:rsidRDefault="00231ED2" w14:paraId="449684AD" w14:textId="0A38BBB2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3BE51B" wp14:editId="23F1B1A5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6475448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43E" w:rsidP="0060359D" w:rsidRDefault="00EE243E" w14:paraId="633F3CE8" w14:textId="7777777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:rsidRPr="00B67287" w:rsidR="00B67287" w:rsidP="00AC45C0" w:rsidRDefault="00251194" w14:paraId="0C108626" w14:textId="77777777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03BE51B">
              <v:stroke joinstyle="miter"/>
              <v:path gradientshapeok="t" o:connecttype="rect"/>
            </v:shapetype>
            <v:shape id="Text Box 1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>
              <v:textbox>
                <w:txbxContent>
                  <w:p w:rsidR="00EE243E" w:rsidP="0060359D" w:rsidRDefault="00EE243E" w14:paraId="633F3CE8" w14:textId="77777777">
                    <w:pPr>
                      <w:jc w:val="center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:rsidRPr="00B67287" w:rsidR="00B67287" w:rsidP="00AC45C0" w:rsidRDefault="00251194" w14:paraId="0C108626" w14:textId="77777777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DA6B51" w:rsidRDefault="00231ED2" w14:paraId="5D6CCB05" w14:textId="2081F52D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04D10F29" wp14:editId="5265A544">
          <wp:extent cx="1600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9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912813601">
    <w:abstractNumId w:val="0"/>
  </w:num>
  <w:num w:numId="2" w16cid:durableId="898244338">
    <w:abstractNumId w:val="5"/>
  </w:num>
  <w:num w:numId="3" w16cid:durableId="1807971374">
    <w:abstractNumId w:val="17"/>
  </w:num>
  <w:num w:numId="4" w16cid:durableId="1381787462">
    <w:abstractNumId w:val="6"/>
  </w:num>
  <w:num w:numId="5" w16cid:durableId="965427365">
    <w:abstractNumId w:val="27"/>
  </w:num>
  <w:num w:numId="6" w16cid:durableId="1284341692">
    <w:abstractNumId w:val="14"/>
  </w:num>
  <w:num w:numId="7" w16cid:durableId="686367370">
    <w:abstractNumId w:val="9"/>
  </w:num>
  <w:num w:numId="8" w16cid:durableId="917834641">
    <w:abstractNumId w:val="15"/>
  </w:num>
  <w:num w:numId="9" w16cid:durableId="2019572315">
    <w:abstractNumId w:val="18"/>
  </w:num>
  <w:num w:numId="10" w16cid:durableId="107508598">
    <w:abstractNumId w:val="10"/>
  </w:num>
  <w:num w:numId="11" w16cid:durableId="1474180789">
    <w:abstractNumId w:val="4"/>
  </w:num>
  <w:num w:numId="12" w16cid:durableId="2075732890">
    <w:abstractNumId w:val="25"/>
  </w:num>
  <w:num w:numId="13" w16cid:durableId="1630667541">
    <w:abstractNumId w:val="21"/>
  </w:num>
  <w:num w:numId="14" w16cid:durableId="1681615016">
    <w:abstractNumId w:val="2"/>
  </w:num>
  <w:num w:numId="15" w16cid:durableId="1043599906">
    <w:abstractNumId w:val="7"/>
  </w:num>
  <w:num w:numId="16" w16cid:durableId="1154226610">
    <w:abstractNumId w:val="13"/>
  </w:num>
  <w:num w:numId="17" w16cid:durableId="1964188280">
    <w:abstractNumId w:val="22"/>
  </w:num>
  <w:num w:numId="18" w16cid:durableId="31079180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hint="default" w:ascii="Symbol" w:hAnsi="Symbol"/>
        </w:rPr>
      </w:lvl>
    </w:lvlOverride>
  </w:num>
  <w:num w:numId="19" w16cid:durableId="768084154">
    <w:abstractNumId w:val="23"/>
  </w:num>
  <w:num w:numId="20" w16cid:durableId="2009288947">
    <w:abstractNumId w:val="8"/>
  </w:num>
  <w:num w:numId="21" w16cid:durableId="1197044545">
    <w:abstractNumId w:val="20"/>
  </w:num>
  <w:num w:numId="22" w16cid:durableId="1351107927">
    <w:abstractNumId w:val="11"/>
  </w:num>
  <w:num w:numId="23" w16cid:durableId="1609659845">
    <w:abstractNumId w:val="24"/>
  </w:num>
  <w:num w:numId="24" w16cid:durableId="1510943312">
    <w:abstractNumId w:val="16"/>
  </w:num>
  <w:num w:numId="25" w16cid:durableId="1827697518">
    <w:abstractNumId w:val="12"/>
  </w:num>
  <w:num w:numId="26" w16cid:durableId="68889609">
    <w:abstractNumId w:val="3"/>
  </w:num>
  <w:num w:numId="27" w16cid:durableId="498891580">
    <w:abstractNumId w:val="19"/>
  </w:num>
  <w:num w:numId="28" w16cid:durableId="111214593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457FB"/>
    <w:rsid w:val="00064F7B"/>
    <w:rsid w:val="000A2AFE"/>
    <w:rsid w:val="000C455E"/>
    <w:rsid w:val="000C4F1A"/>
    <w:rsid w:val="000D5C31"/>
    <w:rsid w:val="00105ECF"/>
    <w:rsid w:val="001365C7"/>
    <w:rsid w:val="00144F79"/>
    <w:rsid w:val="00152185"/>
    <w:rsid w:val="00165336"/>
    <w:rsid w:val="001729B7"/>
    <w:rsid w:val="001732A3"/>
    <w:rsid w:val="00186EAC"/>
    <w:rsid w:val="001915D5"/>
    <w:rsid w:val="00192694"/>
    <w:rsid w:val="001C0860"/>
    <w:rsid w:val="001E1D69"/>
    <w:rsid w:val="00231ED2"/>
    <w:rsid w:val="0023625C"/>
    <w:rsid w:val="00251194"/>
    <w:rsid w:val="00251D53"/>
    <w:rsid w:val="00257030"/>
    <w:rsid w:val="00272CF7"/>
    <w:rsid w:val="00295CB9"/>
    <w:rsid w:val="002A1E28"/>
    <w:rsid w:val="002E53D9"/>
    <w:rsid w:val="002E7CE3"/>
    <w:rsid w:val="00306886"/>
    <w:rsid w:val="0032237B"/>
    <w:rsid w:val="00336C05"/>
    <w:rsid w:val="00351ABC"/>
    <w:rsid w:val="003863EC"/>
    <w:rsid w:val="0039299C"/>
    <w:rsid w:val="003E0C1C"/>
    <w:rsid w:val="00453B5C"/>
    <w:rsid w:val="00462A4E"/>
    <w:rsid w:val="004B789B"/>
    <w:rsid w:val="004C27E3"/>
    <w:rsid w:val="004D1FB4"/>
    <w:rsid w:val="004D4F27"/>
    <w:rsid w:val="004E1F2C"/>
    <w:rsid w:val="004F365E"/>
    <w:rsid w:val="004F36C8"/>
    <w:rsid w:val="00574EB1"/>
    <w:rsid w:val="0058031A"/>
    <w:rsid w:val="00585911"/>
    <w:rsid w:val="005A0518"/>
    <w:rsid w:val="005B45D7"/>
    <w:rsid w:val="005F509E"/>
    <w:rsid w:val="0060359D"/>
    <w:rsid w:val="00607DE1"/>
    <w:rsid w:val="00611035"/>
    <w:rsid w:val="0063009D"/>
    <w:rsid w:val="00652EC7"/>
    <w:rsid w:val="00657388"/>
    <w:rsid w:val="006A6890"/>
    <w:rsid w:val="00706305"/>
    <w:rsid w:val="007127ED"/>
    <w:rsid w:val="00722482"/>
    <w:rsid w:val="0072379D"/>
    <w:rsid w:val="00747E4E"/>
    <w:rsid w:val="00794F79"/>
    <w:rsid w:val="007E2340"/>
    <w:rsid w:val="00804AF4"/>
    <w:rsid w:val="00850A43"/>
    <w:rsid w:val="0087226D"/>
    <w:rsid w:val="008908B9"/>
    <w:rsid w:val="0089671D"/>
    <w:rsid w:val="008D4E89"/>
    <w:rsid w:val="008E778E"/>
    <w:rsid w:val="009052F2"/>
    <w:rsid w:val="009143CB"/>
    <w:rsid w:val="00921C41"/>
    <w:rsid w:val="00922755"/>
    <w:rsid w:val="009309AB"/>
    <w:rsid w:val="00956884"/>
    <w:rsid w:val="009B1197"/>
    <w:rsid w:val="009B49DC"/>
    <w:rsid w:val="009D2977"/>
    <w:rsid w:val="00A02E70"/>
    <w:rsid w:val="00A053D7"/>
    <w:rsid w:val="00A0787B"/>
    <w:rsid w:val="00A13BD5"/>
    <w:rsid w:val="00A652A3"/>
    <w:rsid w:val="00A97821"/>
    <w:rsid w:val="00AB79D3"/>
    <w:rsid w:val="00AC45C0"/>
    <w:rsid w:val="00AF11F2"/>
    <w:rsid w:val="00B12D18"/>
    <w:rsid w:val="00B600D9"/>
    <w:rsid w:val="00B64ED6"/>
    <w:rsid w:val="00B67287"/>
    <w:rsid w:val="00B96ABE"/>
    <w:rsid w:val="00BB6765"/>
    <w:rsid w:val="00BC2CAA"/>
    <w:rsid w:val="00BC3453"/>
    <w:rsid w:val="00BE00E1"/>
    <w:rsid w:val="00BE72EC"/>
    <w:rsid w:val="00C50F75"/>
    <w:rsid w:val="00C82F72"/>
    <w:rsid w:val="00CA3953"/>
    <w:rsid w:val="00CA3DA8"/>
    <w:rsid w:val="00CE4900"/>
    <w:rsid w:val="00CF14C4"/>
    <w:rsid w:val="00D02188"/>
    <w:rsid w:val="00D0295D"/>
    <w:rsid w:val="00D068F2"/>
    <w:rsid w:val="00D322B2"/>
    <w:rsid w:val="00D96BBB"/>
    <w:rsid w:val="00DA6B51"/>
    <w:rsid w:val="00E00A0A"/>
    <w:rsid w:val="00E40349"/>
    <w:rsid w:val="00E90847"/>
    <w:rsid w:val="00EE243E"/>
    <w:rsid w:val="00EE261F"/>
    <w:rsid w:val="00F51B4F"/>
    <w:rsid w:val="00F5321B"/>
    <w:rsid w:val="00F97775"/>
    <w:rsid w:val="00FC044F"/>
    <w:rsid w:val="00FC381A"/>
    <w:rsid w:val="00FF40C1"/>
    <w:rsid w:val="016021B9"/>
    <w:rsid w:val="074A019C"/>
    <w:rsid w:val="0A89EF0B"/>
    <w:rsid w:val="108587D5"/>
    <w:rsid w:val="143A539E"/>
    <w:rsid w:val="164340E4"/>
    <w:rsid w:val="17DED7B4"/>
    <w:rsid w:val="1812DDB2"/>
    <w:rsid w:val="247DF14C"/>
    <w:rsid w:val="24B246FB"/>
    <w:rsid w:val="24EEB68D"/>
    <w:rsid w:val="27E4DCB2"/>
    <w:rsid w:val="2BB1FBC3"/>
    <w:rsid w:val="2E05064F"/>
    <w:rsid w:val="33701E7D"/>
    <w:rsid w:val="34F3B329"/>
    <w:rsid w:val="3508006D"/>
    <w:rsid w:val="37890045"/>
    <w:rsid w:val="37A8E101"/>
    <w:rsid w:val="39770F7A"/>
    <w:rsid w:val="3AF4EEE9"/>
    <w:rsid w:val="445EA93D"/>
    <w:rsid w:val="461A4607"/>
    <w:rsid w:val="47E73538"/>
    <w:rsid w:val="49C34971"/>
    <w:rsid w:val="4B218FCB"/>
    <w:rsid w:val="4C414CBA"/>
    <w:rsid w:val="500750CB"/>
    <w:rsid w:val="5270E7A9"/>
    <w:rsid w:val="52FB3121"/>
    <w:rsid w:val="535AF6E6"/>
    <w:rsid w:val="53B9AED8"/>
    <w:rsid w:val="548FCC53"/>
    <w:rsid w:val="54F7FA47"/>
    <w:rsid w:val="5511E7DA"/>
    <w:rsid w:val="55BA55D4"/>
    <w:rsid w:val="57CE83FA"/>
    <w:rsid w:val="5E1B127B"/>
    <w:rsid w:val="61181070"/>
    <w:rsid w:val="63DD3EE9"/>
    <w:rsid w:val="64B7653C"/>
    <w:rsid w:val="6A20F430"/>
    <w:rsid w:val="72495DE0"/>
    <w:rsid w:val="752BAF7D"/>
    <w:rsid w:val="7584FD27"/>
    <w:rsid w:val="7904F946"/>
    <w:rsid w:val="7AB6A2AE"/>
    <w:rsid w:val="7B54DD9E"/>
    <w:rsid w:val="7CA769BC"/>
    <w:rsid w:val="7CF192C1"/>
    <w:rsid w:val="7E22C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EEE1"/>
  <w15:chartTrackingRefBased/>
  <w15:docId w15:val="{77F0320E-90F3-456C-8C9A-145212CE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scrptionTitle" w:customStyle="1">
    <w:name w:val="DescrptionTitle"/>
    <w:basedOn w:val="Description"/>
    <w:rPr>
      <w:rFonts w:ascii="Tahoma" w:hAnsi="Tahoma"/>
      <w:b/>
    </w:rPr>
  </w:style>
  <w:style w:type="paragraph" w:styleId="Description" w:customStyle="1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styleId="SEAHeader" w:customStyle="1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ADetails" w:customStyle="1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styleId="HeaderChar" w:customStyle="1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paragraph" w:styleId="Revision">
    <w:name w:val="Revision"/>
    <w:hidden/>
    <w:uiPriority w:val="99"/>
    <w:semiHidden/>
    <w:rsid w:val="00BC3453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microsoft.com/office/2011/relationships/commentsExtended" Target="commentsExtended.xml" Id="R2bf8ced8c8624112" /><Relationship Type="http://schemas.microsoft.com/office/2016/09/relationships/commentsIds" Target="commentsIds.xml" Id="R3f15f6c0cd40402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68A4C52C4ED4C86DA4C284E2F3F0D" ma:contentTypeVersion="2" ma:contentTypeDescription="Create a new document." ma:contentTypeScope="" ma:versionID="a625aae8aacf4dc3ec71675f24a88ccc">
  <xsd:schema xmlns:xsd="http://www.w3.org/2001/XMLSchema" xmlns:xs="http://www.w3.org/2001/XMLSchema" xmlns:p="http://schemas.microsoft.com/office/2006/metadata/properties" xmlns:ns2="c088da21-29eb-448b-a207-3c7d936328d5" xmlns:ns3="http://schemas.microsoft.com/sharepoint/v4" targetNamespace="http://schemas.microsoft.com/office/2006/metadata/properties" ma:root="true" ma:fieldsID="14988fea34d8148546ba2e5272140592" ns2:_="" ns3:_="">
    <xsd:import namespace="c088da21-29eb-448b-a207-3c7d936328d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8da21-29eb-448b-a207-3c7d936328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12573-6F7F-4535-A179-75922E88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8da21-29eb-448b-a207-3c7d936328d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2BEFF-450D-4FA5-9FAA-58ECE629127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Systems Engineering &amp; Assessment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Please complete all sections of this form</dc:title>
  <dc:subject/>
  <dc:creator>csp2</dc:creator>
  <keywords/>
  <lastModifiedBy>Simon Gould</lastModifiedBy>
  <revision>6</revision>
  <lastPrinted>2023-03-29T09:02:00.0000000Z</lastPrinted>
  <dcterms:created xsi:type="dcterms:W3CDTF">2025-03-03T17:11:00.0000000Z</dcterms:created>
  <dcterms:modified xsi:type="dcterms:W3CDTF">2025-03-14T08:15:18.1894424Z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</Properties>
</file>